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BC749" w14:textId="67E6C0FA" w:rsidR="00571376" w:rsidRDefault="00175FAA" w:rsidP="00CE6BDB">
      <w:pPr>
        <w:spacing w:after="0" w:line="240" w:lineRule="auto"/>
        <w:jc w:val="right"/>
        <w:rPr>
          <w:b/>
          <w:color w:val="365F91" w:themeColor="accent1" w:themeShade="BF"/>
          <w:sz w:val="28"/>
          <w:szCs w:val="28"/>
        </w:rPr>
      </w:pPr>
      <w:bookmarkStart w:id="0" w:name="_GoBack"/>
      <w:bookmarkEnd w:id="0"/>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CE6BDB">
        <w:rPr>
          <w:b/>
          <w:color w:val="365F91" w:themeColor="accent1" w:themeShade="BF"/>
          <w:sz w:val="28"/>
          <w:szCs w:val="28"/>
        </w:rPr>
        <w:t>Syllabus</w:t>
      </w:r>
    </w:p>
    <w:p w14:paraId="14AE169E" w14:textId="3320BFA8" w:rsidR="00E04B6F" w:rsidRDefault="0027197D" w:rsidP="00CE6BDB">
      <w:pPr>
        <w:spacing w:after="0" w:line="240" w:lineRule="auto"/>
        <w:jc w:val="right"/>
      </w:pPr>
      <w:r>
        <w:t>BUS 130 Microcomputer Applications</w:t>
      </w:r>
      <w:r w:rsidR="00CC64C6">
        <w:t xml:space="preserve"> I</w:t>
      </w:r>
      <w:r>
        <w:t>: Word Processing,</w:t>
      </w:r>
    </w:p>
    <w:p w14:paraId="51D0E4CE" w14:textId="5A58A6D4" w:rsidR="0027197D" w:rsidRPr="00E04B6F" w:rsidRDefault="0027197D" w:rsidP="00CE6BDB">
      <w:pPr>
        <w:spacing w:after="0" w:line="240" w:lineRule="auto"/>
        <w:jc w:val="right"/>
      </w:pPr>
      <w:r>
        <w:t>Spreadsheet, Database, and Presentation</w:t>
      </w:r>
    </w:p>
    <w:p w14:paraId="75A65ED5" w14:textId="4DE8247A" w:rsidR="00E04B6F" w:rsidRPr="00E04B6F" w:rsidRDefault="0027197D" w:rsidP="00CE6BDB">
      <w:pPr>
        <w:spacing w:after="0" w:line="240" w:lineRule="auto"/>
        <w:jc w:val="right"/>
      </w:pPr>
      <w:r>
        <w:t>3</w:t>
      </w:r>
      <w:r w:rsidR="00E04B6F" w:rsidRPr="00E04B6F">
        <w:t xml:space="preserve"> Credit Hours (</w:t>
      </w:r>
      <w:r>
        <w:t>Lecture</w:t>
      </w:r>
      <w:r w:rsidR="00E04B6F" w:rsidRPr="00E04B6F">
        <w:t>)</w:t>
      </w:r>
    </w:p>
    <w:p w14:paraId="0A91191D" w14:textId="6BF42751" w:rsidR="00E04B6F" w:rsidRPr="00E04B6F" w:rsidRDefault="00E04B6F" w:rsidP="00CE6BDB">
      <w:pPr>
        <w:spacing w:after="0" w:line="240" w:lineRule="auto"/>
        <w:jc w:val="right"/>
        <w:rPr>
          <w:color w:val="000000" w:themeColor="text1"/>
        </w:rPr>
      </w:pPr>
      <w:r w:rsidRPr="00E04B6F">
        <w:t xml:space="preserve">Prerequisites: </w:t>
      </w:r>
      <w:r w:rsidR="0027197D">
        <w:t>None</w:t>
      </w:r>
    </w:p>
    <w:p w14:paraId="69B1944C" w14:textId="084E6230" w:rsidR="00571376" w:rsidRPr="00D33100" w:rsidRDefault="00571376" w:rsidP="00CE6BDB">
      <w:pPr>
        <w:spacing w:after="320" w:line="240" w:lineRule="auto"/>
        <w:jc w:val="right"/>
        <w:rPr>
          <w:color w:val="000000" w:themeColor="text1"/>
        </w:rPr>
      </w:pPr>
      <w:r w:rsidRPr="00E04B6F">
        <w:t xml:space="preserve">Revision Date: </w:t>
      </w:r>
      <w:r w:rsidR="00466CE7">
        <w:t>05/10</w:t>
      </w:r>
      <w:r w:rsidRPr="00E04B6F">
        <w:t>/</w:t>
      </w:r>
      <w:r w:rsidR="0027197D">
        <w:t>2019</w:t>
      </w:r>
    </w:p>
    <w:p w14:paraId="5E798813" w14:textId="77777777" w:rsidR="00E04B6F" w:rsidRPr="00466CE7" w:rsidRDefault="00E04B6F" w:rsidP="00CE6BDB">
      <w:pPr>
        <w:spacing w:line="240" w:lineRule="auto"/>
        <w:rPr>
          <w:rFonts w:cs="Calibri"/>
          <w:color w:val="365F91" w:themeColor="accent1" w:themeShade="BF"/>
          <w:sz w:val="28"/>
          <w:szCs w:val="28"/>
        </w:rPr>
      </w:pPr>
      <w:r w:rsidRPr="00466CE7">
        <w:rPr>
          <w:rFonts w:cs="Calibri"/>
          <w:b/>
          <w:color w:val="365F91" w:themeColor="accent1" w:themeShade="BF"/>
          <w:sz w:val="28"/>
          <w:szCs w:val="28"/>
        </w:rPr>
        <w:t>Department:</w:t>
      </w:r>
    </w:p>
    <w:p w14:paraId="77663916" w14:textId="167E7160" w:rsidR="00E04B6F" w:rsidRPr="00466CE7" w:rsidRDefault="0027197D" w:rsidP="00CE6BDB">
      <w:pPr>
        <w:spacing w:line="240" w:lineRule="auto"/>
        <w:ind w:firstLine="720"/>
        <w:rPr>
          <w:rFonts w:cs="Calibri"/>
          <w:color w:val="000000"/>
        </w:rPr>
      </w:pPr>
      <w:r w:rsidRPr="00466CE7">
        <w:rPr>
          <w:rFonts w:cs="Calibri"/>
          <w:color w:val="000000"/>
        </w:rPr>
        <w:t>Business</w:t>
      </w:r>
    </w:p>
    <w:p w14:paraId="27A8E852" w14:textId="77777777" w:rsidR="00E04B6F" w:rsidRPr="00466CE7" w:rsidRDefault="00E04B6F" w:rsidP="00CE6BDB">
      <w:pPr>
        <w:spacing w:line="240" w:lineRule="auto"/>
        <w:rPr>
          <w:rFonts w:cs="Calibri"/>
          <w:b/>
          <w:color w:val="365F91" w:themeColor="accent1" w:themeShade="BF"/>
          <w:sz w:val="28"/>
          <w:szCs w:val="28"/>
        </w:rPr>
      </w:pPr>
      <w:r w:rsidRPr="00466CE7">
        <w:rPr>
          <w:rFonts w:cs="Calibri"/>
          <w:b/>
          <w:color w:val="365F91" w:themeColor="accent1" w:themeShade="BF"/>
          <w:sz w:val="28"/>
          <w:szCs w:val="28"/>
        </w:rPr>
        <w:t>Course Description:</w:t>
      </w:r>
    </w:p>
    <w:p w14:paraId="5C4ED771" w14:textId="6970DE86" w:rsidR="0027197D" w:rsidRPr="00466CE7" w:rsidRDefault="0027197D" w:rsidP="00CE6BDB">
      <w:pPr>
        <w:spacing w:line="240" w:lineRule="auto"/>
        <w:ind w:left="720"/>
        <w:rPr>
          <w:rFonts w:cs="Calibri"/>
          <w:szCs w:val="24"/>
        </w:rPr>
      </w:pPr>
      <w:r w:rsidRPr="00466CE7">
        <w:rPr>
          <w:rFonts w:cs="Calibri"/>
          <w:szCs w:val="24"/>
        </w:rPr>
        <w:t>This course is designed to give students knowledge and practice, which will enable them to feel comfortable with the computer. Emphasis will be placed on problem solving with the use of word processing, spreadsheet, database management</w:t>
      </w:r>
      <w:r w:rsidR="00466CE7" w:rsidRPr="00466CE7">
        <w:rPr>
          <w:rFonts w:cs="Calibri"/>
          <w:szCs w:val="24"/>
        </w:rPr>
        <w:t>,</w:t>
      </w:r>
      <w:r w:rsidRPr="00466CE7">
        <w:rPr>
          <w:rFonts w:cs="Calibri"/>
          <w:szCs w:val="24"/>
        </w:rPr>
        <w:t xml:space="preserve"> and presentation software.</w:t>
      </w:r>
    </w:p>
    <w:p w14:paraId="1A67F34E" w14:textId="77777777" w:rsidR="00E04B6F" w:rsidRPr="00466CE7" w:rsidRDefault="00E04B6F" w:rsidP="00CE6BDB">
      <w:pPr>
        <w:spacing w:line="240" w:lineRule="auto"/>
        <w:rPr>
          <w:rFonts w:cs="Calibri"/>
          <w:color w:val="365F91" w:themeColor="accent1" w:themeShade="BF"/>
          <w:sz w:val="28"/>
          <w:szCs w:val="28"/>
        </w:rPr>
      </w:pPr>
      <w:r w:rsidRPr="00466CE7">
        <w:rPr>
          <w:rFonts w:cs="Calibri"/>
          <w:b/>
          <w:color w:val="365F91" w:themeColor="accent1" w:themeShade="BF"/>
          <w:sz w:val="28"/>
          <w:szCs w:val="28"/>
        </w:rPr>
        <w:t>Course Competencies:</w:t>
      </w:r>
    </w:p>
    <w:p w14:paraId="20EDB827" w14:textId="5699ACB3" w:rsidR="00E04B6F" w:rsidRPr="00466CE7" w:rsidRDefault="00E04B6F" w:rsidP="00CE6BDB">
      <w:pPr>
        <w:autoSpaceDE w:val="0"/>
        <w:autoSpaceDN w:val="0"/>
        <w:adjustRightInd w:val="0"/>
        <w:spacing w:line="240" w:lineRule="auto"/>
        <w:ind w:left="720"/>
        <w:rPr>
          <w:rFonts w:cs="Calibri"/>
          <w:color w:val="000000"/>
        </w:rPr>
      </w:pPr>
      <w:r w:rsidRPr="00466CE7">
        <w:rPr>
          <w:rFonts w:cs="Calibri"/>
          <w:color w:val="000000"/>
        </w:rPr>
        <w:t>The learning outcomes and competencies detailed in this syllabus meet or exceed the learning outcomes and competencies specified by the Kansas Core Outcomes Groups for this course as approved by the Kansas Board of Regents.</w:t>
      </w:r>
      <w:r w:rsidR="00466CE7" w:rsidRPr="00466CE7">
        <w:rPr>
          <w:rFonts w:cs="Calibri"/>
          <w:color w:val="000000"/>
        </w:rPr>
        <w:t xml:space="preserve"> (</w:t>
      </w:r>
      <w:r w:rsidR="00466CE7" w:rsidRPr="00CE6BDB">
        <w:rPr>
          <w:rFonts w:cs="Calibri"/>
          <w:b/>
          <w:color w:val="000000"/>
        </w:rPr>
        <w:t>Kansas Regents Shared Number Course and Title:</w:t>
      </w:r>
      <w:r w:rsidRPr="00CE6BDB">
        <w:rPr>
          <w:rFonts w:cs="Calibri"/>
          <w:b/>
          <w:color w:val="000000"/>
        </w:rPr>
        <w:t xml:space="preserve"> </w:t>
      </w:r>
      <w:r w:rsidR="0027197D" w:rsidRPr="00466CE7">
        <w:rPr>
          <w:rFonts w:cs="Calibri"/>
          <w:b/>
          <w:szCs w:val="24"/>
        </w:rPr>
        <w:t>KRSN CS</w:t>
      </w:r>
      <w:r w:rsidR="00466CE7" w:rsidRPr="00466CE7">
        <w:rPr>
          <w:rFonts w:cs="Calibri"/>
          <w:b/>
          <w:szCs w:val="24"/>
        </w:rPr>
        <w:t>C1010 Introduction to Computers.</w:t>
      </w:r>
      <w:r w:rsidR="00466CE7" w:rsidRPr="00466CE7">
        <w:rPr>
          <w:rFonts w:cs="Calibri"/>
          <w:szCs w:val="24"/>
        </w:rPr>
        <w:t>)</w:t>
      </w:r>
    </w:p>
    <w:p w14:paraId="0AC1C51C" w14:textId="6A8492E9" w:rsidR="0027197D" w:rsidRPr="00466CE7" w:rsidRDefault="00E04B6F" w:rsidP="00CE6BDB">
      <w:pPr>
        <w:autoSpaceDE w:val="0"/>
        <w:autoSpaceDN w:val="0"/>
        <w:adjustRightInd w:val="0"/>
        <w:spacing w:line="240" w:lineRule="auto"/>
        <w:ind w:firstLine="720"/>
        <w:rPr>
          <w:rFonts w:cs="Calibri"/>
          <w:color w:val="000000"/>
        </w:rPr>
      </w:pPr>
      <w:r w:rsidRPr="00466CE7">
        <w:rPr>
          <w:rFonts w:cs="Calibri"/>
          <w:color w:val="000000"/>
        </w:rPr>
        <w:t>Upon completion of the course,</w:t>
      </w:r>
      <w:r w:rsidR="00CE6BDB">
        <w:rPr>
          <w:rFonts w:cs="Calibri"/>
          <w:color w:val="000000"/>
        </w:rPr>
        <w:t xml:space="preserve"> the student should be able to:</w:t>
      </w:r>
    </w:p>
    <w:p w14:paraId="0756D76A" w14:textId="421989BB"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Identify the specifications and configurations of computer hardware.</w:t>
      </w:r>
    </w:p>
    <w:p w14:paraId="53E7E470" w14:textId="77777777"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Identify the role of an operating system.</w:t>
      </w:r>
    </w:p>
    <w:p w14:paraId="4FC1D2BF" w14:textId="77777777"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Use the Internet to find information and determine its credibility.</w:t>
      </w:r>
    </w:p>
    <w:p w14:paraId="0AD96686" w14:textId="77777777"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Use word processing software to create, edit, and produce professional documents.</w:t>
      </w:r>
    </w:p>
    <w:p w14:paraId="4E1E5219" w14:textId="77777777"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Create spreadsheets and charts for problem-solving.</w:t>
      </w:r>
    </w:p>
    <w:p w14:paraId="7B0708D4" w14:textId="77777777"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Utilize a database.</w:t>
      </w:r>
    </w:p>
    <w:p w14:paraId="10CA5898" w14:textId="77777777"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Use presentation software to create, edit, and produce professional presentations.</w:t>
      </w:r>
    </w:p>
    <w:p w14:paraId="36C8B8D7" w14:textId="77777777" w:rsidR="0027197D" w:rsidRPr="00466CE7" w:rsidRDefault="0027197D" w:rsidP="00CE6BDB">
      <w:pPr>
        <w:pStyle w:val="ListParagraph"/>
        <w:numPr>
          <w:ilvl w:val="0"/>
          <w:numId w:val="24"/>
        </w:numPr>
        <w:autoSpaceDE w:val="0"/>
        <w:autoSpaceDN w:val="0"/>
        <w:adjustRightInd w:val="0"/>
        <w:spacing w:after="0" w:line="240" w:lineRule="auto"/>
        <w:contextualSpacing w:val="0"/>
        <w:rPr>
          <w:rFonts w:cs="Calibri"/>
          <w:color w:val="000000"/>
        </w:rPr>
      </w:pPr>
      <w:r w:rsidRPr="00466CE7">
        <w:rPr>
          <w:rFonts w:cs="Calibri"/>
          <w:szCs w:val="24"/>
        </w:rPr>
        <w:t>Identify the ethical and social standards of conduct regarding the use of information and technology.</w:t>
      </w:r>
    </w:p>
    <w:p w14:paraId="0A785F1E" w14:textId="02B6B84B" w:rsidR="0027197D" w:rsidRPr="00466CE7" w:rsidRDefault="0027197D" w:rsidP="00CE6BDB">
      <w:pPr>
        <w:pStyle w:val="ListParagraph"/>
        <w:numPr>
          <w:ilvl w:val="0"/>
          <w:numId w:val="24"/>
        </w:numPr>
        <w:autoSpaceDE w:val="0"/>
        <w:autoSpaceDN w:val="0"/>
        <w:adjustRightInd w:val="0"/>
        <w:spacing w:line="240" w:lineRule="auto"/>
        <w:contextualSpacing w:val="0"/>
        <w:rPr>
          <w:rFonts w:cs="Calibri"/>
          <w:color w:val="000000"/>
        </w:rPr>
      </w:pPr>
      <w:r w:rsidRPr="00466CE7">
        <w:rPr>
          <w:rFonts w:cs="Calibri"/>
          <w:szCs w:val="24"/>
        </w:rPr>
        <w:t>Identify security threats and solutions.</w:t>
      </w:r>
    </w:p>
    <w:p w14:paraId="10523200" w14:textId="02DA7EDD" w:rsidR="00E04B6F" w:rsidRPr="00466CE7" w:rsidRDefault="00E04B6F" w:rsidP="00CE6BDB">
      <w:pPr>
        <w:autoSpaceDE w:val="0"/>
        <w:autoSpaceDN w:val="0"/>
        <w:adjustRightInd w:val="0"/>
        <w:spacing w:line="240" w:lineRule="auto"/>
        <w:rPr>
          <w:rFonts w:cs="Calibri"/>
          <w:b/>
          <w:color w:val="365F91" w:themeColor="accent1" w:themeShade="BF"/>
          <w:sz w:val="28"/>
          <w:szCs w:val="28"/>
        </w:rPr>
      </w:pPr>
      <w:r w:rsidRPr="00466CE7">
        <w:rPr>
          <w:rFonts w:cs="Calibri"/>
          <w:b/>
          <w:color w:val="365F91" w:themeColor="accent1" w:themeShade="BF"/>
          <w:sz w:val="28"/>
          <w:szCs w:val="28"/>
        </w:rPr>
        <w:t>Course Content:</w:t>
      </w:r>
    </w:p>
    <w:p w14:paraId="577FD8EB"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Essential Computer Concepts</w:t>
      </w:r>
    </w:p>
    <w:p w14:paraId="5EB1A1A3"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 xml:space="preserve">Exploring The Basics of Microsoft Windows </w:t>
      </w:r>
    </w:p>
    <w:p w14:paraId="5F92C421"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Managing Your Files</w:t>
      </w:r>
    </w:p>
    <w:p w14:paraId="1C7AFEA2"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Internet Basics and Information Literacy</w:t>
      </w:r>
    </w:p>
    <w:p w14:paraId="35873BC2"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Word</w:t>
      </w:r>
    </w:p>
    <w:p w14:paraId="200C5014"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Excel</w:t>
      </w:r>
    </w:p>
    <w:p w14:paraId="1368D780"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Access</w:t>
      </w:r>
    </w:p>
    <w:p w14:paraId="382000DF" w14:textId="77777777" w:rsidR="0027197D" w:rsidRPr="00466CE7" w:rsidRDefault="0027197D" w:rsidP="00CE6BDB">
      <w:pPr>
        <w:pStyle w:val="ListParagraph"/>
        <w:numPr>
          <w:ilvl w:val="0"/>
          <w:numId w:val="22"/>
        </w:numPr>
        <w:autoSpaceDE w:val="0"/>
        <w:autoSpaceDN w:val="0"/>
        <w:adjustRightInd w:val="0"/>
        <w:spacing w:after="0" w:line="240" w:lineRule="auto"/>
        <w:contextualSpacing w:val="0"/>
        <w:rPr>
          <w:rFonts w:cs="Calibri"/>
        </w:rPr>
      </w:pPr>
      <w:r w:rsidRPr="00466CE7">
        <w:rPr>
          <w:rFonts w:cs="Calibri"/>
        </w:rPr>
        <w:t>PowerPoint</w:t>
      </w:r>
    </w:p>
    <w:p w14:paraId="134194B1" w14:textId="261597C6" w:rsidR="008360D3" w:rsidRPr="00466CE7" w:rsidRDefault="0027197D" w:rsidP="00CE6BDB">
      <w:pPr>
        <w:pStyle w:val="ListParagraph"/>
        <w:numPr>
          <w:ilvl w:val="0"/>
          <w:numId w:val="22"/>
        </w:numPr>
        <w:autoSpaceDE w:val="0"/>
        <w:autoSpaceDN w:val="0"/>
        <w:adjustRightInd w:val="0"/>
        <w:spacing w:line="240" w:lineRule="auto"/>
        <w:contextualSpacing w:val="0"/>
        <w:rPr>
          <w:rFonts w:cs="Calibri"/>
        </w:rPr>
      </w:pPr>
      <w:r w:rsidRPr="00466CE7">
        <w:rPr>
          <w:rFonts w:cs="Calibri"/>
        </w:rPr>
        <w:t>Integration</w:t>
      </w:r>
    </w:p>
    <w:p w14:paraId="3C54E68B" w14:textId="20E119D7" w:rsidR="00E04B6F" w:rsidRPr="00466CE7" w:rsidRDefault="00E04B6F" w:rsidP="00CE6BDB">
      <w:pPr>
        <w:spacing w:line="240" w:lineRule="auto"/>
        <w:rPr>
          <w:rFonts w:cs="Calibri"/>
          <w:b/>
          <w:color w:val="365F91" w:themeColor="accent1" w:themeShade="BF"/>
          <w:sz w:val="18"/>
          <w:szCs w:val="18"/>
        </w:rPr>
      </w:pPr>
      <w:r w:rsidRPr="00466CE7">
        <w:rPr>
          <w:rFonts w:cs="Calibri"/>
          <w:b/>
          <w:color w:val="365F91" w:themeColor="accent1" w:themeShade="BF"/>
          <w:sz w:val="28"/>
          <w:szCs w:val="28"/>
        </w:rPr>
        <w:t>Learning Assessments:</w:t>
      </w:r>
    </w:p>
    <w:p w14:paraId="201D3359" w14:textId="2D7A57AE" w:rsidR="00E04B6F" w:rsidRPr="00466CE7" w:rsidRDefault="00E04B6F" w:rsidP="00CE6BDB">
      <w:pPr>
        <w:spacing w:line="240" w:lineRule="auto"/>
        <w:ind w:left="720"/>
        <w:rPr>
          <w:rFonts w:cs="Calibri"/>
        </w:rPr>
      </w:pPr>
      <w:r w:rsidRPr="00466CE7">
        <w:rPr>
          <w:rFonts w:cs="Calibri"/>
        </w:rPr>
        <w:t>Competencies may be evaluated by multiple measures, including exams, papers, article reviews, research, experiments, and projects.</w:t>
      </w:r>
    </w:p>
    <w:p w14:paraId="1B479070" w14:textId="77777777" w:rsidR="00E04B6F" w:rsidRPr="00466CE7" w:rsidRDefault="00E04B6F" w:rsidP="00CE6BDB">
      <w:pPr>
        <w:autoSpaceDE w:val="0"/>
        <w:autoSpaceDN w:val="0"/>
        <w:adjustRightInd w:val="0"/>
        <w:spacing w:line="240" w:lineRule="auto"/>
        <w:rPr>
          <w:rFonts w:cs="Calibri"/>
          <w:color w:val="365F91" w:themeColor="accent1" w:themeShade="BF"/>
        </w:rPr>
      </w:pPr>
      <w:r w:rsidRPr="00466CE7">
        <w:rPr>
          <w:rFonts w:cs="Calibri"/>
          <w:b/>
          <w:color w:val="365F91" w:themeColor="accent1" w:themeShade="BF"/>
          <w:sz w:val="28"/>
          <w:szCs w:val="28"/>
        </w:rPr>
        <w:t>Instructional Materials:</w:t>
      </w:r>
    </w:p>
    <w:p w14:paraId="2FFC8AA5" w14:textId="4E64FB90" w:rsidR="00D40DFE" w:rsidRPr="00CE6BDB" w:rsidRDefault="00E04B6F" w:rsidP="00CE6BDB">
      <w:pPr>
        <w:pStyle w:val="Bibliography"/>
        <w:spacing w:after="640" w:line="240" w:lineRule="auto"/>
        <w:ind w:left="720"/>
        <w:rPr>
          <w:rFonts w:ascii="Calibri" w:hAnsi="Calibri" w:cs="Calibri"/>
        </w:rPr>
      </w:pPr>
      <w:r w:rsidRPr="00466CE7">
        <w:rPr>
          <w:rFonts w:ascii="Calibri" w:hAnsi="Calibri" w:cs="Calibri"/>
          <w:color w:val="000000" w:themeColor="text1"/>
        </w:rPr>
        <w:lastRenderedPageBreak/>
        <w:t>Textbook:</w:t>
      </w:r>
      <w:r w:rsidR="00CE6BDB">
        <w:rPr>
          <w:rFonts w:ascii="Calibri" w:hAnsi="Calibri" w:cs="Calibri"/>
          <w:color w:val="000000" w:themeColor="text1"/>
        </w:rPr>
        <w:t xml:space="preserve"> </w:t>
      </w:r>
      <w:r w:rsidR="0027197D" w:rsidRPr="00466CE7">
        <w:rPr>
          <w:rFonts w:ascii="Calibri" w:hAnsi="Calibri" w:cs="Calibri"/>
          <w:color w:val="000000" w:themeColor="text1"/>
        </w:rPr>
        <w:t xml:space="preserve"> </w:t>
      </w:r>
      <w:r w:rsidR="0027197D" w:rsidRPr="00466CE7">
        <w:rPr>
          <w:rFonts w:ascii="Calibri" w:hAnsi="Calibri" w:cs="Calibri"/>
          <w:noProof/>
        </w:rPr>
        <w:t xml:space="preserve">Carey, P., Pinard, K. T., Shaffer, A., Shellman, M., Vodnik, S., &amp; Vermaat, M. E. (2020). </w:t>
      </w:r>
      <w:r w:rsidR="0027197D" w:rsidRPr="00466CE7">
        <w:rPr>
          <w:rFonts w:ascii="Calibri" w:hAnsi="Calibri" w:cs="Calibri"/>
          <w:i/>
          <w:iCs/>
          <w:noProof/>
        </w:rPr>
        <w:t>New Perspective Microsoft Office 365 &amp; Office 2019 Introductory</w:t>
      </w:r>
      <w:r w:rsidR="0027197D" w:rsidRPr="00466CE7">
        <w:rPr>
          <w:rFonts w:ascii="Calibri" w:hAnsi="Calibri" w:cs="Calibri"/>
          <w:noProof/>
        </w:rPr>
        <w:t xml:space="preserve">. </w:t>
      </w:r>
      <w:r w:rsidR="00A13B38">
        <w:rPr>
          <w:rFonts w:ascii="Calibri" w:hAnsi="Calibri" w:cs="Calibri"/>
          <w:noProof/>
        </w:rPr>
        <w:t xml:space="preserve">Boston, MA: </w:t>
      </w:r>
      <w:r w:rsidR="00CE6BDB">
        <w:rPr>
          <w:rFonts w:ascii="Calibri" w:hAnsi="Calibri" w:cs="Calibri"/>
          <w:noProof/>
        </w:rPr>
        <w:t xml:space="preserve"> </w:t>
      </w:r>
      <w:r w:rsidR="0027197D" w:rsidRPr="00466CE7">
        <w:rPr>
          <w:rFonts w:ascii="Calibri" w:hAnsi="Calibri" w:cs="Calibri"/>
          <w:noProof/>
        </w:rPr>
        <w:t>Cengage</w:t>
      </w:r>
      <w:r w:rsidR="00A13B38">
        <w:rPr>
          <w:rFonts w:ascii="Calibri" w:hAnsi="Calibri" w:cs="Calibri"/>
          <w:noProof/>
        </w:rPr>
        <w:t xml:space="preserve"> </w:t>
      </w:r>
      <w:r w:rsidR="00A13B38" w:rsidRPr="00CE6BDB">
        <w:rPr>
          <w:rFonts w:ascii="Calibri" w:hAnsi="Calibri" w:cs="Calibri"/>
          <w:noProof/>
        </w:rPr>
        <w:t>Learning</w:t>
      </w:r>
      <w:r w:rsidR="0027197D" w:rsidRPr="00CE6BDB">
        <w:rPr>
          <w:rFonts w:ascii="Calibri" w:hAnsi="Calibri" w:cs="Calibri"/>
          <w:noProof/>
        </w:rPr>
        <w:t>.</w:t>
      </w:r>
      <w:r w:rsidR="006C545B" w:rsidRPr="00CE6BDB">
        <w:rPr>
          <w:rFonts w:ascii="Calibri" w:hAnsi="Calibri" w:cs="Calibri"/>
          <w:noProof/>
        </w:rPr>
        <w:t xml:space="preserve"> </w:t>
      </w:r>
      <w:r w:rsidR="0027197D" w:rsidRPr="00CE6BDB">
        <w:rPr>
          <w:rFonts w:ascii="Calibri" w:hAnsi="Calibri" w:cs="Calibri"/>
        </w:rPr>
        <w:t>ISBN</w:t>
      </w:r>
      <w:r w:rsidR="00466CE7" w:rsidRPr="00CE6BDB">
        <w:rPr>
          <w:rFonts w:ascii="Calibri" w:hAnsi="Calibri" w:cs="Calibri"/>
        </w:rPr>
        <w:t>-13: 978-0357</w:t>
      </w:r>
      <w:r w:rsidR="0027197D" w:rsidRPr="00CE6BDB">
        <w:rPr>
          <w:rFonts w:ascii="Calibri" w:hAnsi="Calibri" w:cs="Calibri"/>
        </w:rPr>
        <w:t>02</w:t>
      </w:r>
      <w:r w:rsidR="00466CE7" w:rsidRPr="00CE6BDB">
        <w:rPr>
          <w:rFonts w:ascii="Calibri" w:hAnsi="Calibri" w:cs="Calibri"/>
        </w:rPr>
        <w:t>574</w:t>
      </w:r>
      <w:r w:rsidR="003D3E30" w:rsidRPr="00CE6BDB">
        <w:rPr>
          <w:rFonts w:ascii="Calibri" w:hAnsi="Calibri" w:cs="Calibri"/>
        </w:rPr>
        <w:t>1</w:t>
      </w:r>
    </w:p>
    <w:p w14:paraId="76CED8FE" w14:textId="10BF9822" w:rsidR="002B76EF" w:rsidRPr="00CE2391" w:rsidRDefault="002B76EF" w:rsidP="00CE6BDB">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Documented Disability or Medical Condition</w:t>
      </w:r>
    </w:p>
    <w:p w14:paraId="78679150" w14:textId="77777777" w:rsidR="002B76EF" w:rsidRPr="00CE2391" w:rsidRDefault="002B76EF" w:rsidP="00CE6BDB">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CE6BDB">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CE6BDB">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3A062226" w:rsidR="002B76EF" w:rsidRDefault="002B76EF" w:rsidP="00CE6BDB">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1858E44D" w14:textId="77777777" w:rsidR="007700E0" w:rsidRDefault="007700E0" w:rsidP="00CE6BDB">
      <w:pPr>
        <w:spacing w:line="240" w:lineRule="auto"/>
        <w:rPr>
          <w:sz w:val="18"/>
          <w:szCs w:val="18"/>
        </w:rPr>
      </w:pPr>
    </w:p>
    <w:p w14:paraId="50B9CFEF" w14:textId="77777777" w:rsidR="002B76EF" w:rsidRPr="00455D8B" w:rsidRDefault="002B76EF" w:rsidP="00CE6BDB">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CE6BDB">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CE6BDB">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4EB63C21" w14:textId="77777777" w:rsidR="009B4FFD" w:rsidRPr="001E7940" w:rsidRDefault="009B4FFD" w:rsidP="00CE6BDB">
      <w:pPr>
        <w:spacing w:line="240" w:lineRule="auto"/>
        <w:rPr>
          <w:rFonts w:cs="Arial"/>
          <w:sz w:val="18"/>
          <w:szCs w:val="18"/>
        </w:rPr>
      </w:pP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5FAD" w14:textId="77777777" w:rsidR="00882304" w:rsidRDefault="00882304" w:rsidP="00C929C7">
      <w:pPr>
        <w:spacing w:after="0" w:line="240" w:lineRule="auto"/>
      </w:pPr>
      <w:r>
        <w:separator/>
      </w:r>
    </w:p>
  </w:endnote>
  <w:endnote w:type="continuationSeparator" w:id="0">
    <w:p w14:paraId="2BB8F5C7" w14:textId="77777777" w:rsidR="00882304" w:rsidRDefault="00882304"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9CA7" w14:textId="3CFBA5D2"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C52ABD">
      <w:rPr>
        <w:noProof/>
      </w:rPr>
      <w:t>2</w:t>
    </w:r>
    <w:r>
      <w:fldChar w:fldCharType="end"/>
    </w:r>
    <w:r>
      <w:t xml:space="preserve"> of </w:t>
    </w:r>
    <w:r w:rsidR="00C52ABD">
      <w:fldChar w:fldCharType="begin"/>
    </w:r>
    <w:r w:rsidR="00C52ABD">
      <w:instrText xml:space="preserve"> NUMPAGES  </w:instrText>
    </w:r>
    <w:r w:rsidR="00C52ABD">
      <w:fldChar w:fldCharType="separate"/>
    </w:r>
    <w:r w:rsidR="00C52ABD">
      <w:rPr>
        <w:noProof/>
      </w:rPr>
      <w:t>2</w:t>
    </w:r>
    <w:r w:rsidR="00C52A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6FCF9" w14:textId="77777777" w:rsidR="00882304" w:rsidRDefault="00882304" w:rsidP="00C929C7">
      <w:pPr>
        <w:spacing w:after="0" w:line="240" w:lineRule="auto"/>
      </w:pPr>
      <w:r>
        <w:separator/>
      </w:r>
    </w:p>
  </w:footnote>
  <w:footnote w:type="continuationSeparator" w:id="0">
    <w:p w14:paraId="459B192C" w14:textId="77777777" w:rsidR="00882304" w:rsidRDefault="00882304"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536AA0"/>
    <w:multiLevelType w:val="hybridMultilevel"/>
    <w:tmpl w:val="9D80DB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C401CA"/>
    <w:multiLevelType w:val="hybridMultilevel"/>
    <w:tmpl w:val="959C0ED8"/>
    <w:lvl w:ilvl="0" w:tplc="AF7EE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
  </w:num>
  <w:num w:numId="4">
    <w:abstractNumId w:val="19"/>
  </w:num>
  <w:num w:numId="5">
    <w:abstractNumId w:val="13"/>
  </w:num>
  <w:num w:numId="6">
    <w:abstractNumId w:val="8"/>
  </w:num>
  <w:num w:numId="7">
    <w:abstractNumId w:val="11"/>
  </w:num>
  <w:num w:numId="8">
    <w:abstractNumId w:val="18"/>
  </w:num>
  <w:num w:numId="9">
    <w:abstractNumId w:val="7"/>
  </w:num>
  <w:num w:numId="10">
    <w:abstractNumId w:val="23"/>
  </w:num>
  <w:num w:numId="11">
    <w:abstractNumId w:val="10"/>
  </w:num>
  <w:num w:numId="12">
    <w:abstractNumId w:val="21"/>
  </w:num>
  <w:num w:numId="13">
    <w:abstractNumId w:val="9"/>
  </w:num>
  <w:num w:numId="14">
    <w:abstractNumId w:val="0"/>
  </w:num>
  <w:num w:numId="15">
    <w:abstractNumId w:val="6"/>
  </w:num>
  <w:num w:numId="16">
    <w:abstractNumId w:val="5"/>
  </w:num>
  <w:num w:numId="17">
    <w:abstractNumId w:val="4"/>
  </w:num>
  <w:num w:numId="18">
    <w:abstractNumId w:val="15"/>
  </w:num>
  <w:num w:numId="19">
    <w:abstractNumId w:val="12"/>
  </w:num>
  <w:num w:numId="20">
    <w:abstractNumId w:val="22"/>
  </w:num>
  <w:num w:numId="21">
    <w:abstractNumId w:val="17"/>
  </w:num>
  <w:num w:numId="22">
    <w:abstractNumId w:val="3"/>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2B"/>
    <w:rsid w:val="000069BE"/>
    <w:rsid w:val="0002181B"/>
    <w:rsid w:val="00037006"/>
    <w:rsid w:val="00043720"/>
    <w:rsid w:val="00055439"/>
    <w:rsid w:val="00063E30"/>
    <w:rsid w:val="00085F6E"/>
    <w:rsid w:val="000B1753"/>
    <w:rsid w:val="000C3E50"/>
    <w:rsid w:val="000C5BCB"/>
    <w:rsid w:val="000F47D8"/>
    <w:rsid w:val="00150F1F"/>
    <w:rsid w:val="00154DA6"/>
    <w:rsid w:val="001567E9"/>
    <w:rsid w:val="001570C3"/>
    <w:rsid w:val="00174B11"/>
    <w:rsid w:val="00175FAA"/>
    <w:rsid w:val="00175FC4"/>
    <w:rsid w:val="001B1B29"/>
    <w:rsid w:val="001E29ED"/>
    <w:rsid w:val="00224566"/>
    <w:rsid w:val="00242C9D"/>
    <w:rsid w:val="002561E8"/>
    <w:rsid w:val="0027197D"/>
    <w:rsid w:val="00286A04"/>
    <w:rsid w:val="002B5EAC"/>
    <w:rsid w:val="002B76EF"/>
    <w:rsid w:val="00312514"/>
    <w:rsid w:val="00323870"/>
    <w:rsid w:val="00323E3F"/>
    <w:rsid w:val="00332151"/>
    <w:rsid w:val="0033228F"/>
    <w:rsid w:val="0034054B"/>
    <w:rsid w:val="00340B27"/>
    <w:rsid w:val="00365053"/>
    <w:rsid w:val="003A0240"/>
    <w:rsid w:val="003B05E5"/>
    <w:rsid w:val="003C5B0B"/>
    <w:rsid w:val="003D3E30"/>
    <w:rsid w:val="003D6127"/>
    <w:rsid w:val="0041724C"/>
    <w:rsid w:val="00430621"/>
    <w:rsid w:val="00451D19"/>
    <w:rsid w:val="00466CE7"/>
    <w:rsid w:val="00470C08"/>
    <w:rsid w:val="004A3940"/>
    <w:rsid w:val="004E07B7"/>
    <w:rsid w:val="00507976"/>
    <w:rsid w:val="00571376"/>
    <w:rsid w:val="005D0C70"/>
    <w:rsid w:val="005E0B89"/>
    <w:rsid w:val="00606EC3"/>
    <w:rsid w:val="00607831"/>
    <w:rsid w:val="00612796"/>
    <w:rsid w:val="0062571C"/>
    <w:rsid w:val="0065639F"/>
    <w:rsid w:val="00691C4E"/>
    <w:rsid w:val="006964B6"/>
    <w:rsid w:val="006B5FAB"/>
    <w:rsid w:val="006C545B"/>
    <w:rsid w:val="00705A63"/>
    <w:rsid w:val="00707D2E"/>
    <w:rsid w:val="00715349"/>
    <w:rsid w:val="0072564A"/>
    <w:rsid w:val="00755749"/>
    <w:rsid w:val="00756040"/>
    <w:rsid w:val="00761222"/>
    <w:rsid w:val="007700E0"/>
    <w:rsid w:val="007A7BA8"/>
    <w:rsid w:val="007A7CD3"/>
    <w:rsid w:val="007C3951"/>
    <w:rsid w:val="007C49A1"/>
    <w:rsid w:val="007D4BA8"/>
    <w:rsid w:val="007E367F"/>
    <w:rsid w:val="007E4B33"/>
    <w:rsid w:val="007F4199"/>
    <w:rsid w:val="0080161B"/>
    <w:rsid w:val="008313BF"/>
    <w:rsid w:val="008360D3"/>
    <w:rsid w:val="00847DC6"/>
    <w:rsid w:val="00873E47"/>
    <w:rsid w:val="008763B6"/>
    <w:rsid w:val="00882304"/>
    <w:rsid w:val="008918BD"/>
    <w:rsid w:val="008A72F7"/>
    <w:rsid w:val="008B3EBE"/>
    <w:rsid w:val="008B6F19"/>
    <w:rsid w:val="008C3E55"/>
    <w:rsid w:val="008D7294"/>
    <w:rsid w:val="008F41CB"/>
    <w:rsid w:val="00900E12"/>
    <w:rsid w:val="00936D79"/>
    <w:rsid w:val="00950B0E"/>
    <w:rsid w:val="0097572B"/>
    <w:rsid w:val="009A556F"/>
    <w:rsid w:val="009B4FFD"/>
    <w:rsid w:val="009D1156"/>
    <w:rsid w:val="009D32A1"/>
    <w:rsid w:val="009D6A04"/>
    <w:rsid w:val="00A070E1"/>
    <w:rsid w:val="00A13B38"/>
    <w:rsid w:val="00A37556"/>
    <w:rsid w:val="00A57B63"/>
    <w:rsid w:val="00A91358"/>
    <w:rsid w:val="00AD7B63"/>
    <w:rsid w:val="00AE5DC3"/>
    <w:rsid w:val="00B0352C"/>
    <w:rsid w:val="00B039F4"/>
    <w:rsid w:val="00B22EA5"/>
    <w:rsid w:val="00B65F3E"/>
    <w:rsid w:val="00B71E59"/>
    <w:rsid w:val="00BB0C09"/>
    <w:rsid w:val="00C123D6"/>
    <w:rsid w:val="00C154AF"/>
    <w:rsid w:val="00C52ABD"/>
    <w:rsid w:val="00C628EB"/>
    <w:rsid w:val="00C929C7"/>
    <w:rsid w:val="00CA7142"/>
    <w:rsid w:val="00CC64C6"/>
    <w:rsid w:val="00CE2391"/>
    <w:rsid w:val="00CE600C"/>
    <w:rsid w:val="00CE6BDB"/>
    <w:rsid w:val="00D40DFE"/>
    <w:rsid w:val="00D42DA1"/>
    <w:rsid w:val="00D55DFB"/>
    <w:rsid w:val="00D72409"/>
    <w:rsid w:val="00D7468D"/>
    <w:rsid w:val="00D77909"/>
    <w:rsid w:val="00DB2F70"/>
    <w:rsid w:val="00E04B6F"/>
    <w:rsid w:val="00E3023A"/>
    <w:rsid w:val="00E86C30"/>
    <w:rsid w:val="00E945A7"/>
    <w:rsid w:val="00EA036F"/>
    <w:rsid w:val="00F053EB"/>
    <w:rsid w:val="00F05845"/>
    <w:rsid w:val="00F319D7"/>
    <w:rsid w:val="00F37AE6"/>
    <w:rsid w:val="00F47C7C"/>
    <w:rsid w:val="00F67C49"/>
    <w:rsid w:val="00F808A7"/>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paragraph" w:styleId="Bibliography">
    <w:name w:val="Bibliography"/>
    <w:basedOn w:val="Normal"/>
    <w:next w:val="Normal"/>
    <w:uiPriority w:val="37"/>
    <w:unhideWhenUsed/>
    <w:rsid w:val="0027197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05A9-BF6D-4823-9638-C3CED0C2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BUS130_Microcomputer_Apps_I_syllabus</vt:lpstr>
    </vt:vector>
  </TitlesOfParts>
  <Company>Hewlett-PackarCompany</Company>
  <LinksUpToDate>false</LinksUpToDate>
  <CharactersWithSpaces>4783</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BUS130_Microcomputer_Apps_I_syllabus</dc:title>
  <dc:creator>eshaw@highlandcc.edu</dc:creator>
  <cp:lastModifiedBy>Irene Covert</cp:lastModifiedBy>
  <cp:revision>2</cp:revision>
  <cp:lastPrinted>2019-07-17T15:21:00Z</cp:lastPrinted>
  <dcterms:created xsi:type="dcterms:W3CDTF">2019-07-17T15:21:00Z</dcterms:created>
  <dcterms:modified xsi:type="dcterms:W3CDTF">2019-07-17T15:21:00Z</dcterms:modified>
</cp:coreProperties>
</file>