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50AD" w14:textId="7DCE7FEC" w:rsidR="00373203" w:rsidRDefault="00685223" w:rsidP="00685223">
      <w:pPr>
        <w:spacing w:after="40"/>
        <w:jc w:val="right"/>
        <w:rPr>
          <w:rFonts w:cs="Times New Roman"/>
          <w:b/>
          <w:color w:val="0F4761" w:themeColor="accent1" w:themeShade="BF"/>
          <w:sz w:val="28"/>
          <w:szCs w:val="28"/>
        </w:rPr>
      </w:pPr>
      <w:r>
        <w:rPr>
          <w:noProof/>
        </w:rPr>
        <w:drawing>
          <wp:anchor distT="0" distB="0" distL="114300" distR="114300" simplePos="0" relativeHeight="251663360" behindDoc="1" locked="0" layoutInCell="1" allowOverlap="1" wp14:anchorId="35F41A5E" wp14:editId="760E82CC">
            <wp:simplePos x="0" y="0"/>
            <wp:positionH relativeFrom="margin">
              <wp:align>left</wp:align>
            </wp:positionH>
            <wp:positionV relativeFrom="paragraph">
              <wp:posOffset>0</wp:posOffset>
            </wp:positionV>
            <wp:extent cx="2350135" cy="457200"/>
            <wp:effectExtent l="0" t="0" r="0" b="0"/>
            <wp:wrapTight wrapText="bothSides">
              <wp:wrapPolygon edited="0">
                <wp:start x="0" y="0"/>
                <wp:lineTo x="0" y="20700"/>
                <wp:lineTo x="21361" y="20700"/>
                <wp:lineTo x="21361" y="0"/>
                <wp:lineTo x="0" y="0"/>
              </wp:wrapPolygon>
            </wp:wrapTight>
            <wp:docPr id="1545807667" name="Picture 1"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 xmlns:a="http://schemas.openxmlformats.org/drawingml/2006/main">
              <a:graphicData uri="http://schemas.openxmlformats.org/drawingml/2006/picture">
                <pic:pic xmlns:pic="http://schemas.openxmlformats.org/drawingml/2006/picture">
                  <pic:nvPicPr>
                    <pic:cNv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0135" cy="4572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373203">
        <w:rPr>
          <w:b/>
          <w:color w:val="0F4761" w:themeColor="accent1" w:themeShade="BF"/>
          <w:sz w:val="28"/>
          <w:szCs w:val="28"/>
        </w:rPr>
        <w:t>Syllabus</w:t>
      </w:r>
    </w:p>
    <w:p w14:paraId="6AB7F674" w14:textId="22CCAEDA" w:rsidR="00373203" w:rsidRDefault="00373203" w:rsidP="00373203">
      <w:pPr>
        <w:spacing w:after="0" w:line="240" w:lineRule="auto"/>
        <w:jc w:val="right"/>
        <w:rPr>
          <w:color w:val="auto"/>
          <w:szCs w:val="22"/>
        </w:rPr>
      </w:pPr>
      <w:r>
        <w:t>BUS 205 Business Law</w:t>
      </w:r>
    </w:p>
    <w:p w14:paraId="1B9E4E93" w14:textId="77777777" w:rsidR="00373203" w:rsidRDefault="00373203" w:rsidP="00373203">
      <w:pPr>
        <w:spacing w:after="0" w:line="240" w:lineRule="auto"/>
        <w:jc w:val="right"/>
      </w:pPr>
      <w:r>
        <w:t>3 Credit Hours (Lecture)</w:t>
      </w:r>
    </w:p>
    <w:p w14:paraId="23392CE7" w14:textId="77777777" w:rsidR="00373203" w:rsidRDefault="00373203" w:rsidP="00373203">
      <w:pPr>
        <w:spacing w:after="0" w:line="240" w:lineRule="auto"/>
        <w:jc w:val="right"/>
        <w:rPr>
          <w:color w:val="000000" w:themeColor="text1"/>
        </w:rPr>
      </w:pPr>
      <w:r>
        <w:t>Prerequisites: None</w:t>
      </w:r>
    </w:p>
    <w:p w14:paraId="637C690A" w14:textId="1807C251" w:rsidR="00373203" w:rsidRDefault="00DA3BDE" w:rsidP="00373203">
      <w:pPr>
        <w:spacing w:after="320" w:line="240" w:lineRule="auto"/>
        <w:jc w:val="right"/>
        <w:rPr>
          <w:color w:val="000000" w:themeColor="text1"/>
        </w:rPr>
      </w:pPr>
      <w:r>
        <w:t xml:space="preserve"> C &amp; I </w:t>
      </w:r>
      <w:r w:rsidR="00373203">
        <w:t xml:space="preserve">Revision Date: </w:t>
      </w:r>
      <w:r>
        <w:t>09/12</w:t>
      </w:r>
      <w:r w:rsidR="00373203">
        <w:t>/2025</w:t>
      </w:r>
    </w:p>
    <w:p w14:paraId="1621E050" w14:textId="7DDC0DDB" w:rsidR="00BA3263" w:rsidRDefault="00394684" w:rsidP="00373203">
      <w:pPr>
        <w:ind w:left="-5" w:hanging="10"/>
      </w:pPr>
      <w:r>
        <w:rPr>
          <w:b/>
          <w:color w:val="365F91"/>
          <w:sz w:val="28"/>
        </w:rPr>
        <w:t>Department:</w:t>
      </w:r>
    </w:p>
    <w:p w14:paraId="2CA72020" w14:textId="77777777" w:rsidR="00BA3263" w:rsidRDefault="00394684">
      <w:pPr>
        <w:spacing w:after="287" w:line="249" w:lineRule="auto"/>
        <w:ind w:left="715" w:hanging="10"/>
      </w:pPr>
      <w:r>
        <w:t xml:space="preserve">Business </w:t>
      </w:r>
    </w:p>
    <w:p w14:paraId="228834E8" w14:textId="77777777" w:rsidR="00BA3263" w:rsidRDefault="00394684">
      <w:pPr>
        <w:spacing w:after="162"/>
        <w:ind w:left="-5" w:hanging="10"/>
      </w:pPr>
      <w:r>
        <w:rPr>
          <w:b/>
          <w:color w:val="365F91"/>
          <w:sz w:val="28"/>
        </w:rPr>
        <w:t xml:space="preserve">Course Description: </w:t>
      </w:r>
    </w:p>
    <w:p w14:paraId="5E62747B" w14:textId="77777777" w:rsidR="00BA3263" w:rsidRDefault="00394684">
      <w:pPr>
        <w:spacing w:after="281" w:line="249" w:lineRule="auto"/>
        <w:ind w:left="715" w:hanging="10"/>
      </w:pPr>
      <w:r>
        <w:t xml:space="preserve">This course provides a basic study of law related to business.  Emphasis will be on contracts, law of sales, negotiable instruments, consumer protection, and the Uniform Commercial Code (UCC). </w:t>
      </w:r>
    </w:p>
    <w:p w14:paraId="021B887A" w14:textId="77777777" w:rsidR="00BA3263" w:rsidRDefault="00394684">
      <w:pPr>
        <w:spacing w:after="127"/>
        <w:ind w:left="-5" w:hanging="10"/>
      </w:pPr>
      <w:r>
        <w:rPr>
          <w:b/>
          <w:color w:val="365F91"/>
          <w:sz w:val="28"/>
        </w:rPr>
        <w:t xml:space="preserve">Course Competencies:  </w:t>
      </w:r>
    </w:p>
    <w:p w14:paraId="587D0510" w14:textId="49D243DD" w:rsidR="00373203" w:rsidRDefault="00373203" w:rsidP="00373203">
      <w:pPr>
        <w:autoSpaceDE w:val="0"/>
        <w:autoSpaceDN w:val="0"/>
        <w:adjustRightInd w:val="0"/>
        <w:spacing w:line="240" w:lineRule="auto"/>
        <w:ind w:left="720"/>
      </w:pPr>
      <w:r>
        <w:t>The learning outcomes and competencies detailed in this syllabus meet or exceed the learning outcomes and competencies specified by the Kansas Core Outcomes Groups for this course as approved by the Kansas Board of Regents, Fall 2021. (</w:t>
      </w:r>
      <w:r>
        <w:rPr>
          <w:b/>
        </w:rPr>
        <w:t>Kansas Regents Shared Number Course and Title: KRSN BUS2023 Business Law.</w:t>
      </w:r>
      <w:r>
        <w:t>)</w:t>
      </w:r>
    </w:p>
    <w:p w14:paraId="754F521C" w14:textId="22823EF1" w:rsidR="00BA3263" w:rsidRDefault="00373203">
      <w:pPr>
        <w:tabs>
          <w:tab w:val="center" w:pos="3510"/>
        </w:tabs>
        <w:spacing w:after="217" w:line="249" w:lineRule="auto"/>
      </w:pPr>
      <w:r>
        <w:tab/>
        <w:t>Upon completion of the course, the student should be able to:</w:t>
      </w:r>
      <w:r>
        <w:rPr>
          <w:b/>
        </w:rPr>
        <w:t xml:space="preserve"> </w:t>
      </w:r>
    </w:p>
    <w:p w14:paraId="54D13338" w14:textId="77777777" w:rsidR="00373203" w:rsidRDefault="00373203">
      <w:pPr>
        <w:numPr>
          <w:ilvl w:val="0"/>
          <w:numId w:val="1"/>
        </w:numPr>
        <w:spacing w:after="21" w:line="249" w:lineRule="auto"/>
        <w:ind w:hanging="360"/>
      </w:pPr>
      <w:r w:rsidRPr="00602933">
        <w:t>Describe American Law sources, the American court system and processes, and methods of alternative dispute resolution</w:t>
      </w:r>
      <w:r>
        <w:t>.</w:t>
      </w:r>
    </w:p>
    <w:p w14:paraId="0C44E228" w14:textId="7B437165" w:rsidR="00373203" w:rsidRDefault="00373203" w:rsidP="00373203">
      <w:pPr>
        <w:numPr>
          <w:ilvl w:val="0"/>
          <w:numId w:val="1"/>
        </w:numPr>
        <w:spacing w:after="21" w:line="249" w:lineRule="auto"/>
        <w:ind w:hanging="360"/>
      </w:pPr>
      <w:r w:rsidRPr="00602933">
        <w:t>Recognize the relevance of ethical and legal considerations when making strategic business decisions</w:t>
      </w:r>
      <w:r>
        <w:t>.</w:t>
      </w:r>
    </w:p>
    <w:p w14:paraId="0483628B" w14:textId="616AEFAC" w:rsidR="00373203" w:rsidRDefault="00373203" w:rsidP="00373203">
      <w:pPr>
        <w:numPr>
          <w:ilvl w:val="0"/>
          <w:numId w:val="1"/>
        </w:numPr>
        <w:spacing w:after="21" w:line="249" w:lineRule="auto"/>
        <w:ind w:hanging="360"/>
      </w:pPr>
      <w:r w:rsidRPr="00602933">
        <w:t>Differentiate between negligence, intentional torts, and strict liability within tort law</w:t>
      </w:r>
    </w:p>
    <w:p w14:paraId="778303B4" w14:textId="7641BC49" w:rsidR="00373203" w:rsidRDefault="00373203">
      <w:pPr>
        <w:numPr>
          <w:ilvl w:val="0"/>
          <w:numId w:val="1"/>
        </w:numPr>
        <w:spacing w:after="21" w:line="249" w:lineRule="auto"/>
        <w:ind w:hanging="360"/>
      </w:pPr>
      <w:r w:rsidRPr="00602933">
        <w:t>Identify contract elements and important characteristics of performance and breach</w:t>
      </w:r>
    </w:p>
    <w:p w14:paraId="26958EF0" w14:textId="217F0AAD" w:rsidR="00373203" w:rsidRDefault="00373203">
      <w:pPr>
        <w:numPr>
          <w:ilvl w:val="0"/>
          <w:numId w:val="1"/>
        </w:numPr>
        <w:spacing w:after="21" w:line="249" w:lineRule="auto"/>
        <w:ind w:hanging="360"/>
      </w:pPr>
      <w:r w:rsidRPr="00602933">
        <w:t>Define and differentiate the fundamental principles of personal property, real property, and intellectual property</w:t>
      </w:r>
    </w:p>
    <w:p w14:paraId="655869D6" w14:textId="77777777" w:rsidR="00373203" w:rsidRDefault="00373203">
      <w:pPr>
        <w:numPr>
          <w:ilvl w:val="0"/>
          <w:numId w:val="1"/>
        </w:numPr>
        <w:spacing w:after="21" w:line="249" w:lineRule="auto"/>
        <w:ind w:hanging="360"/>
      </w:pPr>
      <w:r w:rsidRPr="00602933">
        <w:t>Describe the nature and function of agency and employment law</w:t>
      </w:r>
      <w:r>
        <w:t xml:space="preserve"> </w:t>
      </w:r>
    </w:p>
    <w:p w14:paraId="206C380B" w14:textId="77777777" w:rsidR="00373203" w:rsidRDefault="00373203" w:rsidP="00373203">
      <w:pPr>
        <w:numPr>
          <w:ilvl w:val="0"/>
          <w:numId w:val="1"/>
        </w:numPr>
        <w:spacing w:after="21" w:line="249" w:lineRule="auto"/>
        <w:ind w:hanging="360"/>
      </w:pPr>
      <w:r w:rsidRPr="00602933">
        <w:t>Define and differentiate the duties and potential liability of various business entities.</w:t>
      </w:r>
    </w:p>
    <w:p w14:paraId="3F861B81" w14:textId="572ACFA1" w:rsidR="00373203" w:rsidRDefault="00394684" w:rsidP="00373203">
      <w:pPr>
        <w:spacing w:after="21" w:line="249" w:lineRule="auto"/>
        <w:ind w:left="1065"/>
      </w:pPr>
      <w:r>
        <w:rPr>
          <w:noProof/>
        </w:rPr>
        <mc:AlternateContent>
          <mc:Choice Requires="wpg">
            <w:drawing>
              <wp:anchor distT="0" distB="0" distL="114300" distR="114300" simplePos="0" relativeHeight="251659264" behindDoc="0" locked="0" layoutInCell="1" allowOverlap="1" wp14:anchorId="5B043208" wp14:editId="7C15A348">
                <wp:simplePos x="0" y="0"/>
                <wp:positionH relativeFrom="page">
                  <wp:posOffset>199644</wp:posOffset>
                </wp:positionH>
                <wp:positionV relativeFrom="page">
                  <wp:posOffset>7556348</wp:posOffset>
                </wp:positionV>
                <wp:extent cx="339852" cy="1541932"/>
                <wp:effectExtent l="0" t="0" r="0" b="0"/>
                <wp:wrapSquare wrapText="bothSides"/>
                <wp:docPr id="2477" name="Group 2477"/>
                <wp:cNvGraphicFramePr/>
                <a:graphic xmlns:a="http://schemas.openxmlformats.org/drawingml/2006/main">
                  <a:graphicData uri="http://schemas.microsoft.com/office/word/2010/wordprocessingGroup">
                    <wpg:wgp>
                      <wpg:cNvGrpSpPr/>
                      <wpg:grpSpPr>
                        <a:xfrm>
                          <a:off x="0" y="0"/>
                          <a:ext cx="339852" cy="1541932"/>
                          <a:chOff x="0" y="0"/>
                          <a:chExt cx="339852" cy="1541932"/>
                        </a:xfrm>
                      </wpg:grpSpPr>
                      <wps:wsp>
                        <wps:cNvPr id="194" name="Rectangle 194"/>
                        <wps:cNvSpPr/>
                        <wps:spPr>
                          <a:xfrm rot="-5399999">
                            <a:off x="-715097" y="374831"/>
                            <a:ext cx="1882198" cy="452003"/>
                          </a:xfrm>
                          <a:prstGeom prst="rect">
                            <a:avLst/>
                          </a:prstGeom>
                          <a:ln>
                            <a:noFill/>
                          </a:ln>
                        </wps:spPr>
                        <wps:txbx>
                          <w:txbxContent>
                            <w:p w14:paraId="4643A8D6" w14:textId="77777777" w:rsidR="00BA3263" w:rsidRDefault="00394684">
                              <w:r>
                                <w:rPr>
                                  <w:rFonts w:ascii="Arial" w:eastAsia="Arial" w:hAnsi="Arial" w:cs="Arial"/>
                                  <w:color w:val="365F91"/>
                                  <w:sz w:val="48"/>
                                </w:rPr>
                                <w:t>Syllabus</w:t>
                              </w:r>
                            </w:p>
                          </w:txbxContent>
                        </wps:txbx>
                        <wps:bodyPr horzOverflow="overflow" vert="horz" lIns="0" tIns="0" rIns="0" bIns="0" rtlCol="0">
                          <a:noAutofit/>
                        </wps:bodyPr>
                      </wps:wsp>
                      <wps:wsp>
                        <wps:cNvPr id="195" name="Rectangle 195"/>
                        <wps:cNvSpPr/>
                        <wps:spPr>
                          <a:xfrm rot="-5399999">
                            <a:off x="169653" y="-197615"/>
                            <a:ext cx="112697" cy="452003"/>
                          </a:xfrm>
                          <a:prstGeom prst="rect">
                            <a:avLst/>
                          </a:prstGeom>
                          <a:ln>
                            <a:noFill/>
                          </a:ln>
                        </wps:spPr>
                        <wps:txbx>
                          <w:txbxContent>
                            <w:p w14:paraId="198F030C" w14:textId="77777777" w:rsidR="00BA3263" w:rsidRDefault="00394684">
                              <w:r>
                                <w:rPr>
                                  <w:rFonts w:ascii="Arial" w:eastAsia="Arial" w:hAnsi="Arial" w:cs="Arial"/>
                                  <w:color w:val="365F91"/>
                                  <w:sz w:val="48"/>
                                </w:rPr>
                                <w:t xml:space="preserve"> </w:t>
                              </w:r>
                            </w:p>
                          </w:txbxContent>
                        </wps:txbx>
                        <wps:bodyPr horzOverflow="overflow" vert="horz" lIns="0" tIns="0" rIns="0" bIns="0" rtlCol="0">
                          <a:noAutofit/>
                        </wps:bodyPr>
                      </wps:wsp>
                    </wpg:wgp>
                  </a:graphicData>
                </a:graphic>
              </wp:anchor>
            </w:drawing>
          </mc:Choice>
          <mc:Fallback>
            <w:pict>
              <v:group w14:anchorId="5B043208" id="Group 2477" o:spid="_x0000_s1026" style="position:absolute;left:0;text-align:left;margin-left:15.7pt;margin-top:595pt;width:26.75pt;height:121.4pt;z-index:251659264;mso-position-horizontal-relative:page;mso-position-vertical-relative:page" coordsize="339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">
                <v:rect id="Rectangle 194" o:spid="_x0000_s1027" style="position:absolute;left:-7151;top:3749;width:18821;height:4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" filled="f" stroked="f">
                  <v:textbox inset="0,0,0,0">
                    <w:txbxContent>
                      <w:p w14:paraId="4643A8D6" w14:textId="77777777" w:rsidR="00BA3263" w:rsidRDefault="00394684">
                        <w:r>
                          <w:rPr>
                            <w:rFonts w:ascii="Arial" w:eastAsia="Arial" w:hAnsi="Arial" w:cs="Arial"/>
                            <w:color w:val="365F91"/>
                            <w:sz w:val="48"/>
                          </w:rPr>
                          <w:t>Syllabus</w:t>
                        </w:r>
                      </w:p>
                    </w:txbxContent>
                  </v:textbox>
                </v:rect>
                <v:rect id="Rectangle 195" o:spid="_x0000_s1028" style="position:absolute;left:1697;top:-1976;width:1126;height:45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" filled="f" stroked="f">
                  <v:textbox inset="0,0,0,0">
                    <w:txbxContent>
                      <w:p w14:paraId="198F030C" w14:textId="77777777" w:rsidR="00BA3263" w:rsidRDefault="00394684">
                        <w:r>
                          <w:rPr>
                            <w:rFonts w:ascii="Arial" w:eastAsia="Arial" w:hAnsi="Arial" w:cs="Arial"/>
                            <w:color w:val="365F91"/>
                            <w:sz w:val="48"/>
                          </w:rPr>
                          <w:t xml:space="preserve"> </w:t>
                        </w:r>
                      </w:p>
                    </w:txbxContent>
                  </v:textbox>
                </v:rect>
                <w10:wrap type="square" anchorx="page" anchory="page"/>
              </v:group>
            </w:pict>
          </mc:Fallback>
        </mc:AlternateContent>
      </w:r>
    </w:p>
    <w:p w14:paraId="7ED241E9" w14:textId="77777777" w:rsidR="00BA3263" w:rsidRDefault="00394684">
      <w:pPr>
        <w:spacing w:after="162"/>
        <w:ind w:left="-5" w:hanging="10"/>
      </w:pPr>
      <w:r>
        <w:rPr>
          <w:b/>
          <w:color w:val="365F91"/>
          <w:sz w:val="28"/>
        </w:rPr>
        <w:t xml:space="preserve">Course Content:  </w:t>
      </w:r>
    </w:p>
    <w:p w14:paraId="63377B8F" w14:textId="77777777" w:rsidR="00BA3263" w:rsidRDefault="00394684" w:rsidP="001C32C8">
      <w:pPr>
        <w:pStyle w:val="ListParagraph"/>
        <w:numPr>
          <w:ilvl w:val="0"/>
          <w:numId w:val="5"/>
        </w:numPr>
        <w:tabs>
          <w:tab w:val="left" w:pos="1080"/>
        </w:tabs>
        <w:spacing w:after="21" w:line="249" w:lineRule="auto"/>
      </w:pPr>
      <w:r>
        <w:t xml:space="preserve">The Legal Environment of Business </w:t>
      </w:r>
    </w:p>
    <w:p w14:paraId="628BF6C9" w14:textId="77777777" w:rsidR="00BA3263" w:rsidRDefault="00394684" w:rsidP="001C32C8">
      <w:pPr>
        <w:pStyle w:val="ListParagraph"/>
        <w:numPr>
          <w:ilvl w:val="0"/>
          <w:numId w:val="5"/>
        </w:numPr>
        <w:tabs>
          <w:tab w:val="left" w:pos="1080"/>
        </w:tabs>
        <w:spacing w:after="21" w:line="249" w:lineRule="auto"/>
      </w:pPr>
      <w:r>
        <w:t xml:space="preserve">The Law of Contracts </w:t>
      </w:r>
    </w:p>
    <w:p w14:paraId="2E87750E" w14:textId="77777777" w:rsidR="00BA3263" w:rsidRDefault="00394684" w:rsidP="001C32C8">
      <w:pPr>
        <w:pStyle w:val="ListParagraph"/>
        <w:numPr>
          <w:ilvl w:val="0"/>
          <w:numId w:val="5"/>
        </w:numPr>
        <w:tabs>
          <w:tab w:val="left" w:pos="1080"/>
        </w:tabs>
        <w:spacing w:after="21" w:line="249" w:lineRule="auto"/>
      </w:pPr>
      <w:r>
        <w:t>The Law Regarding Sales and Lease Contracts</w:t>
      </w:r>
      <w:r w:rsidRPr="00373203">
        <w:rPr>
          <w:i/>
        </w:rPr>
        <w:t xml:space="preserve"> </w:t>
      </w:r>
    </w:p>
    <w:p w14:paraId="1DA2737A" w14:textId="77777777" w:rsidR="00BA3263" w:rsidRDefault="00394684" w:rsidP="001C32C8">
      <w:pPr>
        <w:pStyle w:val="ListParagraph"/>
        <w:numPr>
          <w:ilvl w:val="0"/>
          <w:numId w:val="5"/>
        </w:numPr>
        <w:tabs>
          <w:tab w:val="left" w:pos="1080"/>
        </w:tabs>
        <w:spacing w:after="21" w:line="249" w:lineRule="auto"/>
      </w:pPr>
      <w:r>
        <w:t xml:space="preserve">Negotiable Instruments </w:t>
      </w:r>
    </w:p>
    <w:p w14:paraId="7C34DD8B" w14:textId="77777777" w:rsidR="00BA3263" w:rsidRDefault="00394684" w:rsidP="001C32C8">
      <w:pPr>
        <w:pStyle w:val="ListParagraph"/>
        <w:numPr>
          <w:ilvl w:val="0"/>
          <w:numId w:val="5"/>
        </w:numPr>
        <w:tabs>
          <w:tab w:val="left" w:pos="1080"/>
        </w:tabs>
        <w:spacing w:after="21" w:line="249" w:lineRule="auto"/>
      </w:pPr>
      <w:r>
        <w:t>Debtor-Creditor Relationships</w:t>
      </w:r>
      <w:r w:rsidRPr="00373203">
        <w:rPr>
          <w:i/>
        </w:rPr>
        <w:t xml:space="preserve"> </w:t>
      </w:r>
    </w:p>
    <w:p w14:paraId="13240F9D" w14:textId="77777777" w:rsidR="00BA3263" w:rsidRDefault="00394684" w:rsidP="001C32C8">
      <w:pPr>
        <w:pStyle w:val="ListParagraph"/>
        <w:numPr>
          <w:ilvl w:val="0"/>
          <w:numId w:val="5"/>
        </w:numPr>
        <w:tabs>
          <w:tab w:val="left" w:pos="1080"/>
        </w:tabs>
        <w:spacing w:after="21" w:line="249" w:lineRule="auto"/>
      </w:pPr>
      <w:r>
        <w:t>Business Organizations</w:t>
      </w:r>
      <w:r w:rsidRPr="00373203">
        <w:rPr>
          <w:i/>
        </w:rPr>
        <w:t xml:space="preserve"> </w:t>
      </w:r>
      <w:r>
        <w:t xml:space="preserve"> </w:t>
      </w:r>
    </w:p>
    <w:p w14:paraId="6977C616" w14:textId="77777777" w:rsidR="00BA3263" w:rsidRDefault="00394684" w:rsidP="001C32C8">
      <w:pPr>
        <w:pStyle w:val="ListParagraph"/>
        <w:numPr>
          <w:ilvl w:val="0"/>
          <w:numId w:val="5"/>
        </w:numPr>
        <w:tabs>
          <w:tab w:val="left" w:pos="1080"/>
        </w:tabs>
        <w:spacing w:after="21" w:line="249" w:lineRule="auto"/>
      </w:pPr>
      <w:r>
        <w:t xml:space="preserve">Government Regulations </w:t>
      </w:r>
    </w:p>
    <w:p w14:paraId="32F721D8" w14:textId="77777777" w:rsidR="00BA3263" w:rsidRDefault="00394684" w:rsidP="001C32C8">
      <w:pPr>
        <w:pStyle w:val="ListParagraph"/>
        <w:numPr>
          <w:ilvl w:val="0"/>
          <w:numId w:val="5"/>
        </w:numPr>
        <w:tabs>
          <w:tab w:val="left" w:pos="1080"/>
        </w:tabs>
        <w:spacing w:after="21" w:line="249" w:lineRule="auto"/>
      </w:pPr>
      <w:r>
        <w:t xml:space="preserve">Property and its Protection </w:t>
      </w:r>
    </w:p>
    <w:p w14:paraId="0BAC8A3E" w14:textId="77777777" w:rsidR="00373203" w:rsidRDefault="00394684" w:rsidP="001C32C8">
      <w:pPr>
        <w:pStyle w:val="ListParagraph"/>
        <w:numPr>
          <w:ilvl w:val="0"/>
          <w:numId w:val="5"/>
        </w:numPr>
        <w:tabs>
          <w:tab w:val="left" w:pos="1080"/>
        </w:tabs>
        <w:spacing w:after="21" w:line="368" w:lineRule="auto"/>
      </w:pPr>
      <w:r>
        <w:t>The International Legal Environment</w:t>
      </w:r>
    </w:p>
    <w:p w14:paraId="37C7F54B" w14:textId="77777777" w:rsidR="00373203" w:rsidRDefault="00373203" w:rsidP="00373203">
      <w:pPr>
        <w:pStyle w:val="ListParagraph"/>
        <w:tabs>
          <w:tab w:val="left" w:pos="1080"/>
        </w:tabs>
        <w:spacing w:after="21" w:line="368" w:lineRule="auto"/>
      </w:pPr>
    </w:p>
    <w:p w14:paraId="46A11658" w14:textId="77777777" w:rsidR="00373203" w:rsidRDefault="00394684" w:rsidP="00685223">
      <w:pPr>
        <w:tabs>
          <w:tab w:val="left" w:pos="1080"/>
        </w:tabs>
        <w:spacing w:after="0" w:line="368" w:lineRule="auto"/>
      </w:pPr>
      <w:r w:rsidRPr="00373203">
        <w:rPr>
          <w:b/>
          <w:i/>
        </w:rPr>
        <w:t xml:space="preserve"> </w:t>
      </w:r>
      <w:r w:rsidRPr="00373203">
        <w:rPr>
          <w:b/>
          <w:color w:val="365F91"/>
          <w:sz w:val="28"/>
        </w:rPr>
        <w:t xml:space="preserve">Learning Assessments:  </w:t>
      </w:r>
    </w:p>
    <w:p w14:paraId="45D1B9AB" w14:textId="1585BC9A" w:rsidR="00BA3263" w:rsidRDefault="00394684" w:rsidP="00373203">
      <w:pPr>
        <w:tabs>
          <w:tab w:val="left" w:pos="1080"/>
        </w:tabs>
        <w:spacing w:after="0" w:line="240" w:lineRule="auto"/>
        <w:ind w:left="630"/>
      </w:pPr>
      <w:r>
        <w:t xml:space="preserve">Course competencies will be evaluated by use of graded assignments, quizzes, exams, course projects, and reading/discussion forums. </w:t>
      </w:r>
    </w:p>
    <w:p w14:paraId="20D983C3" w14:textId="77777777" w:rsidR="00373203" w:rsidRDefault="00373203" w:rsidP="00373203">
      <w:pPr>
        <w:tabs>
          <w:tab w:val="left" w:pos="1080"/>
        </w:tabs>
        <w:spacing w:after="0" w:line="240" w:lineRule="auto"/>
        <w:ind w:left="630"/>
      </w:pPr>
    </w:p>
    <w:p w14:paraId="19CC9CAE" w14:textId="77777777" w:rsidR="00BA3263" w:rsidRDefault="00394684">
      <w:pPr>
        <w:spacing w:after="112"/>
        <w:ind w:left="-5" w:hanging="10"/>
      </w:pPr>
      <w:r>
        <w:rPr>
          <w:b/>
          <w:color w:val="365F91"/>
          <w:sz w:val="28"/>
        </w:rPr>
        <w:t xml:space="preserve">Instructional Materials:  </w:t>
      </w:r>
    </w:p>
    <w:p w14:paraId="59A38498" w14:textId="12D2526E" w:rsidR="00BA3263" w:rsidRDefault="00394684" w:rsidP="00685223">
      <w:pPr>
        <w:tabs>
          <w:tab w:val="left" w:pos="1080"/>
        </w:tabs>
        <w:spacing w:after="0" w:line="240" w:lineRule="auto"/>
        <w:ind w:left="1080" w:hanging="450"/>
      </w:pPr>
      <w:r>
        <w:t xml:space="preserve">Textbook: </w:t>
      </w:r>
      <w:r w:rsidR="00685223">
        <w:t>Meiners, R</w:t>
      </w:r>
      <w:r w:rsidR="0D1219FD">
        <w:t>.</w:t>
      </w:r>
      <w:r w:rsidR="4161B634">
        <w:t xml:space="preserve">E., </w:t>
      </w:r>
      <w:proofErr w:type="spellStart"/>
      <w:r w:rsidR="4161B634">
        <w:t>Ringleb</w:t>
      </w:r>
      <w:proofErr w:type="spellEnd"/>
      <w:r w:rsidR="7A1D039C">
        <w:t>,</w:t>
      </w:r>
      <w:r w:rsidR="4161B634">
        <w:t xml:space="preserve"> A.H., &amp; Edwards,</w:t>
      </w:r>
      <w:r w:rsidR="58E66E02">
        <w:t xml:space="preserve"> </w:t>
      </w:r>
      <w:r w:rsidR="36A53184">
        <w:t>E</w:t>
      </w:r>
      <w:r w:rsidR="4161B634">
        <w:t>.</w:t>
      </w:r>
      <w:r w:rsidR="439113B7">
        <w:t xml:space="preserve"> (202</w:t>
      </w:r>
      <w:r w:rsidR="2C9566B9">
        <w:t>2</w:t>
      </w:r>
      <w:r w:rsidR="439113B7">
        <w:t>)</w:t>
      </w:r>
      <w:r w:rsidR="67C649D7">
        <w:t>.</w:t>
      </w:r>
      <w:r w:rsidR="00685223">
        <w:t xml:space="preserve"> </w:t>
      </w:r>
      <w:r w:rsidRPr="74BEBA8E">
        <w:rPr>
          <w:i/>
          <w:iCs/>
        </w:rPr>
        <w:t>The Legal Environment of Business,</w:t>
      </w:r>
      <w:r w:rsidR="00685223">
        <w:t xml:space="preserve"> Cengage</w:t>
      </w:r>
      <w:r>
        <w:t>,</w:t>
      </w:r>
      <w:r w:rsidR="458D803E">
        <w:t xml:space="preserve"> </w:t>
      </w:r>
      <w:r w:rsidR="513EF34D">
        <w:t>(</w:t>
      </w:r>
      <w:r w:rsidR="00685223">
        <w:t>14</w:t>
      </w:r>
      <w:r w:rsidR="0D6304A0">
        <w:t>th</w:t>
      </w:r>
      <w:r w:rsidR="00685223">
        <w:t xml:space="preserve"> </w:t>
      </w:r>
      <w:r w:rsidR="4C355361">
        <w:t>e</w:t>
      </w:r>
      <w:r w:rsidR="00685223">
        <w:t>d</w:t>
      </w:r>
      <w:r w:rsidR="0AA37C14">
        <w:t>.)</w:t>
      </w:r>
      <w:r w:rsidR="00685223">
        <w:t>,</w:t>
      </w:r>
      <w:r w:rsidR="41EE8E7D">
        <w:t xml:space="preserve"> ISBN</w:t>
      </w:r>
      <w:r>
        <w:t>978-0</w:t>
      </w:r>
      <w:r w:rsidR="00685223">
        <w:t xml:space="preserve">357451724 or </w:t>
      </w:r>
      <w:proofErr w:type="spellStart"/>
      <w:r w:rsidR="00685223">
        <w:t>eISBN</w:t>
      </w:r>
      <w:proofErr w:type="spellEnd"/>
      <w:r w:rsidR="00685223">
        <w:t>: 9798214347455</w:t>
      </w:r>
      <w:r>
        <w:t xml:space="preserve">. </w:t>
      </w:r>
    </w:p>
    <w:p w14:paraId="57E264EE" w14:textId="4FA507AA" w:rsidR="00BA3263" w:rsidRDefault="00BA3263">
      <w:pPr>
        <w:spacing w:after="0"/>
      </w:pPr>
    </w:p>
    <w:p w14:paraId="5C26A610" w14:textId="77777777" w:rsidR="00685223" w:rsidRDefault="00685223">
      <w:pPr>
        <w:spacing w:after="0"/>
      </w:pPr>
    </w:p>
    <w:p w14:paraId="59FD3B03" w14:textId="77777777" w:rsidR="00685223" w:rsidRDefault="00685223" w:rsidP="00685223">
      <w:pPr>
        <w:pStyle w:val="NormalWeb"/>
        <w:spacing w:before="0" w:beforeAutospacing="0" w:after="200" w:afterAutospacing="0"/>
        <w:jc w:val="center"/>
        <w:rPr>
          <w:rFonts w:ascii="Calibri" w:hAnsi="Calibri"/>
          <w:sz w:val="18"/>
          <w:szCs w:val="18"/>
        </w:rPr>
      </w:pPr>
      <w:r>
        <w:rPr>
          <w:rStyle w:val="Strong"/>
          <w:rFonts w:ascii="Calibri" w:hAnsi="Calibri"/>
          <w:sz w:val="18"/>
          <w:szCs w:val="18"/>
        </w:rPr>
        <w:t>Guidelines for Requesting Accommodations Based on</w:t>
      </w:r>
      <w:r>
        <w:rPr>
          <w:rFonts w:ascii="Calibri" w:hAnsi="Calibri"/>
          <w:b/>
          <w:bCs/>
          <w:sz w:val="18"/>
          <w:szCs w:val="18"/>
        </w:rPr>
        <w:t xml:space="preserve"> </w:t>
      </w:r>
      <w:r>
        <w:rPr>
          <w:rStyle w:val="Strong"/>
          <w:rFonts w:ascii="Calibri" w:hAnsi="Calibri"/>
          <w:sz w:val="18"/>
          <w:szCs w:val="18"/>
        </w:rPr>
        <w:t>Documented Disability or Medical Condition</w:t>
      </w:r>
    </w:p>
    <w:p w14:paraId="62CDD2EE" w14:textId="77777777" w:rsidR="00685223" w:rsidRDefault="00685223" w:rsidP="00685223">
      <w:pPr>
        <w:pStyle w:val="style1"/>
        <w:spacing w:before="0" w:beforeAutospacing="0" w:after="200" w:afterAutospacing="0"/>
        <w:rPr>
          <w:rFonts w:ascii="Calibri" w:hAnsi="Calibri" w:cs="Times New Roman"/>
          <w:sz w:val="18"/>
          <w:szCs w:val="18"/>
        </w:rPr>
      </w:pPr>
      <w:r>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14:paraId="0D21E36F" w14:textId="77777777" w:rsidR="00685223" w:rsidRDefault="00685223" w:rsidP="00685223">
      <w:pPr>
        <w:pStyle w:val="style1"/>
        <w:spacing w:before="0" w:beforeAutospacing="0" w:after="200" w:afterAutospacing="0"/>
        <w:rPr>
          <w:rFonts w:ascii="Calibri" w:hAnsi="Calibri" w:cs="Times New Roman"/>
          <w:sz w:val="18"/>
          <w:szCs w:val="18"/>
        </w:rPr>
      </w:pPr>
      <w:r>
        <w:rPr>
          <w:rFonts w:ascii="Calibri" w:hAnsi="Calibri" w:cs="Times New Roman"/>
          <w:sz w:val="18"/>
          <w:szCs w:val="18"/>
        </w:rPr>
        <w:t xml:space="preserve">Students should understand that it is their responsibility to self-identify their </w:t>
      </w:r>
      <w:proofErr w:type="gramStart"/>
      <w:r>
        <w:rPr>
          <w:rFonts w:ascii="Calibri" w:hAnsi="Calibri" w:cs="Times New Roman"/>
          <w:sz w:val="18"/>
          <w:szCs w:val="18"/>
        </w:rPr>
        <w:t>need(s)</w:t>
      </w:r>
      <w:proofErr w:type="gramEnd"/>
      <w:r>
        <w:rPr>
          <w:rFonts w:ascii="Calibri" w:hAnsi="Calibri" w:cs="Times New Roman"/>
          <w:sz w:val="18"/>
          <w:szCs w:val="18"/>
        </w:rPr>
        <w:t xml:space="preserve"> for accommodation and that they must provide current, comprehensive diagnosis of a specific disability or medical condition from a qualified professional </w:t>
      </w:r>
      <w:proofErr w:type="gramStart"/>
      <w:r>
        <w:rPr>
          <w:rFonts w:ascii="Calibri" w:hAnsi="Calibri" w:cs="Times New Roman"/>
          <w:sz w:val="18"/>
          <w:szCs w:val="18"/>
        </w:rPr>
        <w:t>in order to</w:t>
      </w:r>
      <w:proofErr w:type="gramEnd"/>
      <w:r>
        <w:rPr>
          <w:rFonts w:ascii="Calibri" w:hAnsi="Calibri" w:cs="Times New Roman"/>
          <w:sz w:val="18"/>
          <w:szCs w:val="18"/>
        </w:rPr>
        <w:t xml:space="preserve"> receive services. Documentation must include specific recommendations for accommodation(s). Documentation should be provided in a timely manner prior to or early in the semester so that the requested accommodation can be considered and, if warranted, arranged.</w:t>
      </w:r>
    </w:p>
    <w:p w14:paraId="681ECD2C" w14:textId="77777777" w:rsidR="00685223" w:rsidRDefault="00685223" w:rsidP="00685223">
      <w:pPr>
        <w:spacing w:line="240" w:lineRule="auto"/>
        <w:rPr>
          <w:rFonts w:cs="Times New Roman"/>
          <w:sz w:val="18"/>
          <w:szCs w:val="18"/>
        </w:rPr>
      </w:pPr>
      <w:proofErr w:type="gramStart"/>
      <w:r>
        <w:rPr>
          <w:sz w:val="18"/>
          <w:szCs w:val="18"/>
        </w:rPr>
        <w:t>In order to</w:t>
      </w:r>
      <w:proofErr w:type="gramEnd"/>
      <w:r>
        <w:rPr>
          <w:sz w:val="18"/>
          <w:szCs w:val="18"/>
        </w:rPr>
        <w:t xml:space="preserve"> begin the process all students </w:t>
      </w:r>
      <w:r>
        <w:rPr>
          <w:b/>
          <w:sz w:val="18"/>
          <w:szCs w:val="18"/>
        </w:rPr>
        <w:t>must</w:t>
      </w:r>
      <w:r>
        <w:rPr>
          <w:sz w:val="18"/>
          <w:szCs w:val="18"/>
        </w:rPr>
        <w:t xml:space="preserve"> complete the “Disabilities Self-Identification Form” on our </w:t>
      </w:r>
      <w:hyperlink r:id="rId8" w:history="1">
        <w:r>
          <w:rPr>
            <w:rStyle w:val="Hyperlink"/>
            <w:sz w:val="18"/>
            <w:szCs w:val="18"/>
          </w:rPr>
          <w:t>Disability Services website</w:t>
        </w:r>
      </w:hyperlink>
      <w:r>
        <w:rPr>
          <w:sz w:val="18"/>
          <w:szCs w:val="18"/>
        </w:rPr>
        <w:t xml:space="preserve">. </w:t>
      </w:r>
    </w:p>
    <w:p w14:paraId="00B20581" w14:textId="77777777" w:rsidR="00685223" w:rsidRDefault="00685223" w:rsidP="00685223">
      <w:pPr>
        <w:spacing w:line="240" w:lineRule="auto"/>
        <w:rPr>
          <w:sz w:val="18"/>
          <w:szCs w:val="18"/>
        </w:rPr>
      </w:pPr>
      <w:r>
        <w:rPr>
          <w:sz w:val="18"/>
          <w:szCs w:val="18"/>
        </w:rPr>
        <w:t>This form can also be accessed at the Highland Community College homepage under Students Services/Student Resources/Disability Service or by contacting the Disabilities Coordinator.</w:t>
      </w:r>
    </w:p>
    <w:p w14:paraId="4889C449" w14:textId="77777777" w:rsidR="00685223" w:rsidRDefault="00685223" w:rsidP="00685223">
      <w:pPr>
        <w:spacing w:line="240" w:lineRule="auto"/>
        <w:rPr>
          <w:sz w:val="18"/>
          <w:szCs w:val="18"/>
        </w:rPr>
      </w:pPr>
    </w:p>
    <w:p w14:paraId="683BF49E" w14:textId="77777777" w:rsidR="00685223" w:rsidRDefault="00685223" w:rsidP="00685223">
      <w:pPr>
        <w:spacing w:line="240" w:lineRule="auto"/>
        <w:jc w:val="center"/>
        <w:rPr>
          <w:b/>
          <w:sz w:val="18"/>
          <w:szCs w:val="18"/>
        </w:rPr>
      </w:pPr>
      <w:r>
        <w:rPr>
          <w:b/>
          <w:sz w:val="18"/>
          <w:szCs w:val="18"/>
        </w:rPr>
        <w:t>A Note on Harassment, Discrimination and Sexual Misconduct</w:t>
      </w:r>
    </w:p>
    <w:p w14:paraId="5F243D5E" w14:textId="77777777" w:rsidR="00685223" w:rsidRDefault="00685223" w:rsidP="00685223">
      <w:pPr>
        <w:spacing w:line="240" w:lineRule="auto"/>
        <w:rPr>
          <w:sz w:val="18"/>
          <w:szCs w:val="18"/>
        </w:rPr>
      </w:pPr>
      <w:r>
        <w:rPr>
          <w:sz w:val="18"/>
          <w:szCs w:val="18"/>
        </w:rPr>
        <w:t xml:space="preserve">Highland Community College seeks to </w:t>
      </w:r>
      <w:proofErr w:type="gramStart"/>
      <w:r>
        <w:rPr>
          <w:sz w:val="18"/>
          <w:szCs w:val="18"/>
        </w:rPr>
        <w:t>assure</w:t>
      </w:r>
      <w:proofErr w:type="gramEnd"/>
      <w:r>
        <w:rPr>
          <w:sz w:val="18"/>
          <w:szCs w:val="18"/>
        </w:rPr>
        <w:t xml:space="preserv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r:id="rId9" w:history="1">
        <w:r>
          <w:rPr>
            <w:rStyle w:val="Hyperlink"/>
            <w:sz w:val="18"/>
            <w:szCs w:val="18"/>
          </w:rPr>
          <w:t>online report</w:t>
        </w:r>
      </w:hyperlink>
      <w:r>
        <w:rPr>
          <w:sz w:val="18"/>
          <w:szCs w:val="18"/>
        </w:rPr>
        <w:t xml:space="preserve"> about what happened so that they can get the support they need and Highland Community College can respond appropriately.</w:t>
      </w:r>
    </w:p>
    <w:p w14:paraId="0C53358A" w14:textId="77777777" w:rsidR="00685223" w:rsidRDefault="00685223" w:rsidP="00685223">
      <w:pPr>
        <w:spacing w:line="240" w:lineRule="auto"/>
        <w:rPr>
          <w:sz w:val="18"/>
          <w:szCs w:val="18"/>
        </w:rPr>
      </w:pPr>
      <w:r>
        <w:rPr>
          <w:sz w:val="18"/>
          <w:szCs w:val="18"/>
        </w:rPr>
        <w:t xml:space="preserve">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reporting options, please review our </w:t>
      </w:r>
      <w:hyperlink r:id="rId10" w:history="1">
        <w:r>
          <w:rPr>
            <w:rStyle w:val="Hyperlink"/>
            <w:sz w:val="18"/>
            <w:szCs w:val="18"/>
          </w:rPr>
          <w:t>Equity Grievance Policy</w:t>
        </w:r>
      </w:hyperlink>
      <w:r>
        <w:rPr>
          <w:sz w:val="18"/>
          <w:szCs w:val="18"/>
        </w:rPr>
        <w:t>.</w:t>
      </w:r>
    </w:p>
    <w:p w14:paraId="6F39A24E" w14:textId="77777777" w:rsidR="00685223" w:rsidRDefault="00685223" w:rsidP="00685223">
      <w:pPr>
        <w:spacing w:line="240" w:lineRule="auto"/>
        <w:rPr>
          <w:rFonts w:cs="Arial"/>
          <w:sz w:val="18"/>
          <w:szCs w:val="18"/>
        </w:rPr>
      </w:pPr>
    </w:p>
    <w:p w14:paraId="1E160A71" w14:textId="62AA328F" w:rsidR="00BA3263" w:rsidRDefault="00BA3263">
      <w:pPr>
        <w:spacing w:after="198"/>
        <w:ind w:left="10" w:right="-15" w:hanging="10"/>
        <w:jc w:val="right"/>
      </w:pPr>
    </w:p>
    <w:sectPr w:rsidR="00BA3263" w:rsidSect="00685223">
      <w:footerReference w:type="default" r:id="rId11"/>
      <w:pgSz w:w="12240" w:h="15840"/>
      <w:pgMar w:top="1350" w:right="1436" w:bottom="9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B7EF" w14:textId="77777777" w:rsidR="004A1616" w:rsidRDefault="004A1616" w:rsidP="00685223">
      <w:pPr>
        <w:spacing w:after="0" w:line="240" w:lineRule="auto"/>
      </w:pPr>
      <w:r>
        <w:separator/>
      </w:r>
    </w:p>
  </w:endnote>
  <w:endnote w:type="continuationSeparator" w:id="0">
    <w:p w14:paraId="626992E0" w14:textId="77777777" w:rsidR="004A1616" w:rsidRDefault="004A1616" w:rsidP="00685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65132"/>
      <w:docPartObj>
        <w:docPartGallery w:val="Page Numbers (Bottom of Page)"/>
        <w:docPartUnique/>
      </w:docPartObj>
    </w:sdtPr>
    <w:sdtContent>
      <w:sdt>
        <w:sdtPr>
          <w:id w:val="-1769616900"/>
          <w:docPartObj>
            <w:docPartGallery w:val="Page Numbers (Top of Page)"/>
            <w:docPartUnique/>
          </w:docPartObj>
        </w:sdtPr>
        <w:sdtContent>
          <w:p w14:paraId="2F3DA9BE" w14:textId="37BE9594" w:rsidR="00685223" w:rsidRDefault="00685223">
            <w:pPr>
              <w:pStyle w:val="Footer"/>
              <w:jc w:val="right"/>
            </w:pPr>
            <w:r>
              <w:t xml:space="preserve">Revision Date: 08/28/2025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165078DB" w14:textId="77777777" w:rsidR="00685223" w:rsidRDefault="00685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FA820" w14:textId="77777777" w:rsidR="004A1616" w:rsidRDefault="004A1616" w:rsidP="00685223">
      <w:pPr>
        <w:spacing w:after="0" w:line="240" w:lineRule="auto"/>
      </w:pPr>
      <w:r>
        <w:separator/>
      </w:r>
    </w:p>
  </w:footnote>
  <w:footnote w:type="continuationSeparator" w:id="0">
    <w:p w14:paraId="75C0313B" w14:textId="77777777" w:rsidR="004A1616" w:rsidRDefault="004A1616" w:rsidP="0068522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pFA7Q1hF2Re0J2" int2:id="gqlptRs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F4C"/>
    <w:multiLevelType w:val="hybridMultilevel"/>
    <w:tmpl w:val="5CDA8D94"/>
    <w:lvl w:ilvl="0" w:tplc="DEA01F9C">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686598">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E2126">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244B2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68F34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102250">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089516">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382A270">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90E8EE">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427E36"/>
    <w:multiLevelType w:val="hybridMultilevel"/>
    <w:tmpl w:val="65BE8580"/>
    <w:lvl w:ilvl="0" w:tplc="E1202FA8">
      <w:start w:val="1"/>
      <w:numFmt w:val="upp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76C6F6">
      <w:start w:val="1"/>
      <w:numFmt w:val="lowerLetter"/>
      <w:lvlText w:val="%2"/>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D4DEF2">
      <w:start w:val="1"/>
      <w:numFmt w:val="lowerRoman"/>
      <w:lvlText w:val="%3"/>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5AE85A">
      <w:start w:val="1"/>
      <w:numFmt w:val="decimal"/>
      <w:lvlText w:val="%4"/>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764854">
      <w:start w:val="1"/>
      <w:numFmt w:val="lowerLetter"/>
      <w:lvlText w:val="%5"/>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DE08CE">
      <w:start w:val="1"/>
      <w:numFmt w:val="lowerRoman"/>
      <w:lvlText w:val="%6"/>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84D432">
      <w:start w:val="1"/>
      <w:numFmt w:val="decimal"/>
      <w:lvlText w:val="%7"/>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B652F6">
      <w:start w:val="1"/>
      <w:numFmt w:val="lowerLetter"/>
      <w:lvlText w:val="%8"/>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907D84">
      <w:start w:val="1"/>
      <w:numFmt w:val="lowerRoman"/>
      <w:lvlText w:val="%9"/>
      <w:lvlJc w:val="left"/>
      <w:pPr>
        <w:ind w:left="6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2E5759"/>
    <w:multiLevelType w:val="hybridMultilevel"/>
    <w:tmpl w:val="CD5A9B2A"/>
    <w:lvl w:ilvl="0" w:tplc="0409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671150A2"/>
    <w:multiLevelType w:val="hybridMultilevel"/>
    <w:tmpl w:val="4B124760"/>
    <w:lvl w:ilvl="0" w:tplc="E1202FA8">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163261"/>
    <w:multiLevelType w:val="hybridMultilevel"/>
    <w:tmpl w:val="CB9A860A"/>
    <w:lvl w:ilvl="0" w:tplc="E1202FA8">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65029500">
    <w:abstractNumId w:val="0"/>
  </w:num>
  <w:num w:numId="2" w16cid:durableId="2122071579">
    <w:abstractNumId w:val="1"/>
  </w:num>
  <w:num w:numId="3" w16cid:durableId="1419327260">
    <w:abstractNumId w:val="3"/>
  </w:num>
  <w:num w:numId="4" w16cid:durableId="1102451365">
    <w:abstractNumId w:val="2"/>
  </w:num>
  <w:num w:numId="5" w16cid:durableId="1819418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63"/>
    <w:rsid w:val="00155FA7"/>
    <w:rsid w:val="001C32C8"/>
    <w:rsid w:val="00373203"/>
    <w:rsid w:val="00394684"/>
    <w:rsid w:val="004A1616"/>
    <w:rsid w:val="00685223"/>
    <w:rsid w:val="00A107DD"/>
    <w:rsid w:val="00BA3263"/>
    <w:rsid w:val="00BD59FB"/>
    <w:rsid w:val="00DA3BDE"/>
    <w:rsid w:val="00EF360A"/>
    <w:rsid w:val="08A14989"/>
    <w:rsid w:val="0AA37C14"/>
    <w:rsid w:val="0D1219FD"/>
    <w:rsid w:val="0D6304A0"/>
    <w:rsid w:val="1C71ED47"/>
    <w:rsid w:val="2C9566B9"/>
    <w:rsid w:val="36A53184"/>
    <w:rsid w:val="3BCE4425"/>
    <w:rsid w:val="4161B634"/>
    <w:rsid w:val="41EE8E7D"/>
    <w:rsid w:val="439113B7"/>
    <w:rsid w:val="458D803E"/>
    <w:rsid w:val="4B1493FC"/>
    <w:rsid w:val="4C355361"/>
    <w:rsid w:val="513EF34D"/>
    <w:rsid w:val="5774FFED"/>
    <w:rsid w:val="58E66E02"/>
    <w:rsid w:val="67C649D7"/>
    <w:rsid w:val="71ECD662"/>
    <w:rsid w:val="74BEBA8E"/>
    <w:rsid w:val="79016BE2"/>
    <w:rsid w:val="7A1D039C"/>
    <w:rsid w:val="7DFF2A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02EB5"/>
  <w15:docId w15:val="{0C6393BF-38CD-483F-8840-A65E2020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03"/>
    <w:pPr>
      <w:ind w:left="720"/>
      <w:contextualSpacing/>
    </w:pPr>
  </w:style>
  <w:style w:type="paragraph" w:styleId="Header">
    <w:name w:val="header"/>
    <w:basedOn w:val="Normal"/>
    <w:link w:val="HeaderChar"/>
    <w:uiPriority w:val="99"/>
    <w:unhideWhenUsed/>
    <w:rsid w:val="00685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223"/>
    <w:rPr>
      <w:rFonts w:ascii="Calibri" w:eastAsia="Calibri" w:hAnsi="Calibri" w:cs="Calibri"/>
      <w:color w:val="000000"/>
      <w:sz w:val="22"/>
    </w:rPr>
  </w:style>
  <w:style w:type="paragraph" w:styleId="Footer">
    <w:name w:val="footer"/>
    <w:basedOn w:val="Normal"/>
    <w:link w:val="FooterChar"/>
    <w:uiPriority w:val="99"/>
    <w:unhideWhenUsed/>
    <w:rsid w:val="00685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223"/>
    <w:rPr>
      <w:rFonts w:ascii="Calibri" w:eastAsia="Calibri" w:hAnsi="Calibri" w:cs="Calibri"/>
      <w:color w:val="000000"/>
      <w:sz w:val="22"/>
    </w:rPr>
  </w:style>
  <w:style w:type="character" w:styleId="Hyperlink">
    <w:name w:val="Hyperlink"/>
    <w:uiPriority w:val="99"/>
    <w:semiHidden/>
    <w:unhideWhenUsed/>
    <w:rsid w:val="00685223"/>
    <w:rPr>
      <w:color w:val="0000FF"/>
      <w:u w:val="single"/>
    </w:rPr>
  </w:style>
  <w:style w:type="paragraph" w:styleId="NormalWeb">
    <w:name w:val="Normal (Web)"/>
    <w:basedOn w:val="Normal"/>
    <w:semiHidden/>
    <w:unhideWhenUsed/>
    <w:rsid w:val="00685223"/>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style1">
    <w:name w:val="style1"/>
    <w:basedOn w:val="Normal"/>
    <w:rsid w:val="00685223"/>
    <w:pPr>
      <w:spacing w:before="100" w:beforeAutospacing="1" w:after="100" w:afterAutospacing="1" w:line="240" w:lineRule="auto"/>
    </w:pPr>
    <w:rPr>
      <w:rFonts w:ascii="Arial" w:eastAsia="Times New Roman" w:hAnsi="Arial" w:cs="Arial"/>
      <w:color w:val="auto"/>
      <w:kern w:val="0"/>
      <w:sz w:val="24"/>
      <w14:ligatures w14:val="none"/>
    </w:rPr>
  </w:style>
  <w:style w:type="character" w:styleId="Strong">
    <w:name w:val="Strong"/>
    <w:basedOn w:val="DefaultParagraphFont"/>
    <w:qFormat/>
    <w:rsid w:val="00685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79442">
      <w:bodyDiv w:val="1"/>
      <w:marLeft w:val="0"/>
      <w:marRight w:val="0"/>
      <w:marTop w:val="0"/>
      <w:marBottom w:val="0"/>
      <w:divBdr>
        <w:top w:val="none" w:sz="0" w:space="0" w:color="auto"/>
        <w:left w:val="none" w:sz="0" w:space="0" w:color="auto"/>
        <w:bottom w:val="none" w:sz="0" w:space="0" w:color="auto"/>
        <w:right w:val="none" w:sz="0" w:space="0" w:color="auto"/>
      </w:divBdr>
    </w:div>
    <w:div w:id="495390113">
      <w:bodyDiv w:val="1"/>
      <w:marLeft w:val="0"/>
      <w:marRight w:val="0"/>
      <w:marTop w:val="0"/>
      <w:marBottom w:val="0"/>
      <w:divBdr>
        <w:top w:val="none" w:sz="0" w:space="0" w:color="auto"/>
        <w:left w:val="none" w:sz="0" w:space="0" w:color="auto"/>
        <w:bottom w:val="none" w:sz="0" w:space="0" w:color="auto"/>
        <w:right w:val="none" w:sz="0" w:space="0" w:color="auto"/>
      </w:divBdr>
    </w:div>
    <w:div w:id="1380978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ighlandcc.edu/pages/disability-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highlandcc.edu/caffeine/uploads/files/Approved%20Equity%20Grievance%20Policy.pdf" TargetMode="External"/><Relationship Id="rId4" Type="http://schemas.openxmlformats.org/officeDocument/2006/relationships/webSettings" Target="webSettings.xml"/><Relationship Id="rId9" Type="http://schemas.openxmlformats.org/officeDocument/2006/relationships/hyperlink" Target="https://cm.maxient.com/reportingform.php?HighlandCCKS&amp;layout_id=1"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676</Words>
  <Characters>4140</Characters>
  <Application>Microsoft Office Word</Application>
  <DocSecurity>0</DocSecurity>
  <Lines>78</Lines>
  <Paragraphs>50</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cp:lastModifiedBy>Cindy Davis</cp:lastModifiedBy>
  <cp:revision>5</cp:revision>
  <dcterms:created xsi:type="dcterms:W3CDTF">2025-09-02T20:44:00Z</dcterms:created>
  <dcterms:modified xsi:type="dcterms:W3CDTF">2025-09-17T19:32:00Z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e471cdac-3618-4dfe-b519-1e1edc133346</vt:lpwstr>
  </property>
</Properties>
</file>